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45" w:rsidRDefault="00732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ЗАТВЕРДЖЕНО</w:t>
      </w:r>
    </w:p>
    <w:p w:rsidR="00732937" w:rsidRDefault="00732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Рішення </w:t>
      </w:r>
      <w:r w:rsidR="00E40CD1"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 сільської</w:t>
      </w:r>
    </w:p>
    <w:p w:rsidR="00732937" w:rsidRDefault="00732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ради ___________ скликання </w:t>
      </w:r>
    </w:p>
    <w:p w:rsidR="00732937" w:rsidRDefault="00732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«     »_________  р. №______</w:t>
      </w:r>
    </w:p>
    <w:p w:rsidR="00E40CD1" w:rsidRDefault="00E40C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0CD1" w:rsidRDefault="00E40CD1" w:rsidP="00E40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E40CD1" w:rsidRDefault="00E40CD1" w:rsidP="00E40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Фінансового забезпечення на 202</w:t>
      </w:r>
      <w:r w:rsidR="006977D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виконавців власних повноважень Станіславської сільської ради у сферах забезпеч</w:t>
      </w:r>
      <w:r w:rsidR="00004ADF">
        <w:rPr>
          <w:rFonts w:ascii="Times New Roman" w:hAnsi="Times New Roman" w:cs="Times New Roman"/>
          <w:sz w:val="28"/>
          <w:szCs w:val="28"/>
          <w:lang w:val="uk-UA"/>
        </w:rPr>
        <w:t>ення законності та правопорядку «БЕЗПЕЧНА ГРОМАДА»</w:t>
      </w:r>
    </w:p>
    <w:p w:rsidR="00E40CD1" w:rsidRDefault="00E40CD1" w:rsidP="00E40C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0CD1" w:rsidRDefault="00E40CD1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CD1">
        <w:rPr>
          <w:rFonts w:ascii="Times New Roman" w:hAnsi="Times New Roman" w:cs="Times New Roman"/>
          <w:b/>
          <w:sz w:val="28"/>
          <w:szCs w:val="28"/>
          <w:lang w:val="uk-UA"/>
        </w:rPr>
        <w:t>І. Паспорт Програми</w:t>
      </w:r>
    </w:p>
    <w:p w:rsidR="00A447FE" w:rsidRDefault="00A447FE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05"/>
        <w:gridCol w:w="4260"/>
      </w:tblGrid>
      <w:tr w:rsidR="00E40CD1" w:rsidTr="00E40CD1">
        <w:trPr>
          <w:trHeight w:val="675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05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4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розроблення Програми</w:t>
            </w:r>
          </w:p>
        </w:tc>
        <w:tc>
          <w:tcPr>
            <w:tcW w:w="4260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правопорядку та благоустрою</w:t>
            </w:r>
          </w:p>
        </w:tc>
      </w:tr>
      <w:tr w:rsidR="00E40CD1" w:rsidTr="00E40CD1">
        <w:trPr>
          <w:trHeight w:val="885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005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 Програми</w:t>
            </w:r>
          </w:p>
        </w:tc>
        <w:tc>
          <w:tcPr>
            <w:tcW w:w="4260" w:type="dxa"/>
          </w:tcPr>
          <w:p w:rsidR="00E40CD1" w:rsidRDefault="00A447FE" w:rsidP="00A447F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інспектор правопорядку та благоустрою</w:t>
            </w:r>
          </w:p>
        </w:tc>
      </w:tr>
      <w:tr w:rsidR="00E40CD1" w:rsidTr="00E40CD1">
        <w:trPr>
          <w:trHeight w:val="78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005" w:type="dxa"/>
          </w:tcPr>
          <w:p w:rsidR="00E40CD1" w:rsidRPr="00A447FE" w:rsidRDefault="00A447FE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260" w:type="dxa"/>
          </w:tcPr>
          <w:p w:rsidR="00E40CD1" w:rsidRPr="00A447FE" w:rsidRDefault="004828A7" w:rsidP="00A447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Станіславська сільська рада Старший інспектор правопорядку та благоустрою</w:t>
            </w:r>
          </w:p>
        </w:tc>
      </w:tr>
      <w:tr w:rsidR="00E40CD1" w:rsidTr="00E40CD1">
        <w:trPr>
          <w:trHeight w:val="87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 (співвиконавці)</w:t>
            </w:r>
          </w:p>
        </w:tc>
        <w:tc>
          <w:tcPr>
            <w:tcW w:w="4260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Станіславська сільська рада Старший інспектор правопорядку та благоустрою</w:t>
            </w:r>
          </w:p>
        </w:tc>
      </w:tr>
      <w:tr w:rsidR="00E40CD1" w:rsidTr="00E40CD1">
        <w:trPr>
          <w:trHeight w:val="81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260" w:type="dxa"/>
          </w:tcPr>
          <w:p w:rsidR="00E40CD1" w:rsidRPr="004828A7" w:rsidRDefault="004828A7" w:rsidP="006977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97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E40CD1" w:rsidTr="00E40CD1">
        <w:trPr>
          <w:trHeight w:val="117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60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бюджет</w:t>
            </w:r>
          </w:p>
        </w:tc>
      </w:tr>
      <w:tr w:rsidR="00E40CD1" w:rsidTr="00A447FE">
        <w:trPr>
          <w:trHeight w:val="1170"/>
        </w:trPr>
        <w:tc>
          <w:tcPr>
            <w:tcW w:w="540" w:type="dxa"/>
          </w:tcPr>
          <w:p w:rsidR="00E40CD1" w:rsidRDefault="00A447FE" w:rsidP="00E40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005" w:type="dxa"/>
          </w:tcPr>
          <w:p w:rsidR="00E40CD1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фінансових ресурсів, необхідних для реалізації Програми, усього</w:t>
            </w:r>
          </w:p>
        </w:tc>
        <w:tc>
          <w:tcPr>
            <w:tcW w:w="4260" w:type="dxa"/>
          </w:tcPr>
          <w:p w:rsidR="00E40CD1" w:rsidRPr="004828A7" w:rsidRDefault="004828A7" w:rsidP="00045D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F5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45D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F5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447FE" w:rsidTr="00E40CD1">
        <w:trPr>
          <w:trHeight w:val="1170"/>
        </w:trPr>
        <w:tc>
          <w:tcPr>
            <w:tcW w:w="540" w:type="dxa"/>
          </w:tcPr>
          <w:p w:rsidR="00A447FE" w:rsidRPr="00A447FE" w:rsidRDefault="00A447FE" w:rsidP="00E40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005" w:type="dxa"/>
          </w:tcPr>
          <w:p w:rsidR="00A447FE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60" w:type="dxa"/>
          </w:tcPr>
          <w:p w:rsidR="00A447FE" w:rsidRPr="004828A7" w:rsidRDefault="004828A7" w:rsidP="004828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 здійснюється за рахунок коштів сільського бюджету</w:t>
            </w:r>
          </w:p>
        </w:tc>
      </w:tr>
    </w:tbl>
    <w:p w:rsidR="00E40CD1" w:rsidRDefault="00E40CD1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31E" w:rsidRDefault="00DF331E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31E" w:rsidRDefault="00DF331E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Default="00004ADF" w:rsidP="00DF331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Загальна характеристика Програми</w:t>
      </w:r>
    </w:p>
    <w:p w:rsidR="00004ADF" w:rsidRDefault="00004ADF" w:rsidP="00E40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ADF" w:rsidRPr="005808F3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«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БЕЗПЕЧН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ГРОМАДА»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6977D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ік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(далі-Програма) розроблена відповідно до Законів України „Про національну поліцію”,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“Про участь громадян в охороні громадського порядку і державного кордону”,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Указу Президента „Про заходи щодо забезпечення особистої безпеки громадян та протидії злочинності”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 метою запобігання та припинення адміністративних правопорушень і злочинів,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5808F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захисту життя та здоров’я громадян, інтересів суспільства і держави від протиправних посягань.</w:t>
      </w:r>
    </w:p>
    <w:p w:rsidR="00004ADF" w:rsidRPr="0026230D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громадськості для забезпечення охорони громадського порядку та профілактики злочинності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території Станіславської сільської ради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04ADF" w:rsidRPr="0026230D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Питання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активізації участі населення у правоохоронній роботі, підтримки громадянами діяльності органів внутрішніх справ, залучення до цієї роботи підприємств, організацій та установ різних форм власності постає дуже гостро у зв’язку з реформуванням старої системи органів внутрішніх справ та різк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 збільшенням проявів злочинності в сел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Станіслав, Широка Балка, Софіївка</w:t>
      </w:r>
      <w:r w:rsidR="006977D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Олександрівка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623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протягом останнього періоду.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нормативами  навантаження на одного дільничного  має становити в сільській місцевості до 2,2 тис. жителів. На даний час  один дільничний офіцер поліції обслуговує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Широку Балку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977D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Олександрівку та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Софіївку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загальна кількість населення в межах зони обслуговування  становить </w:t>
      </w:r>
      <w:r w:rsidR="006977D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 тис. осіб.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 стан справ знижує оперативність реагування на правопорушення, негативно впливає на рівень забезпечення громадського порядку та ефективності боротьби зі злочинністю. У зв’язку з цим широке залучення громадськості, профільних підприємств, організацій та установ різних форм власності до діяльності з охорони громадського порядку та протидії злочинності набуває першочергового значення.</w:t>
      </w:r>
    </w:p>
    <w:p w:rsidR="00004ADF" w:rsidRPr="000D01C6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Потребує активізації також інформаційно-роз’яснювальна робота, що проводиться серед населення, з метою доведення необхідності участі громадян в охороні громадського порядку, профілактики правопорушень та боротьби зі злочинністю.</w:t>
      </w:r>
    </w:p>
    <w:p w:rsidR="00004ADF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цілому рівень участі громадян у правоохоронній роботі  є недостатнім. Такий стан справ зумовлений різними факторами. Одним з найболючіших питань у діяльності громадських формувань є низький рівень їх фінансування та матеріально-технічного забезпечення, що не дозволяє повною мірою залучити громадян до відповідної роботи.</w:t>
      </w:r>
    </w:p>
    <w:p w:rsidR="00DF331E" w:rsidRPr="00DF331E" w:rsidRDefault="00DF331E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Default="00004ADF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610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</w:t>
      </w:r>
      <w:r w:rsid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610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. Мета і завдання програми</w:t>
      </w:r>
    </w:p>
    <w:p w:rsidR="00DF331E" w:rsidRPr="00DF331E" w:rsidRDefault="00DF331E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Pr="000D01C6" w:rsidRDefault="00DF331E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Мета Програми полягає у забезпеченні ефективної підтримки місцевим органом виконавчої влади, органом місцевого самоврядування та населенням діяльності громадськ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формуван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охорон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громадського порядку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території Станіславської сільської ради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спрямованої на підвищення загального рівня правопорядку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території Станіславської сільської ради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захист життя, здоров’я, честі і гідності населення, цілодобову охорону громадського порядку в сел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профілактичну роботу по попередженню злочинності та забезпеченні комплексного підходу до розв’язання проблем, пов’язаних з питаннями безпеки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території Станіславської сільської ради</w:t>
      </w:r>
      <w:r w:rsidR="00004ADF"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004ADF" w:rsidRPr="000D01C6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Дана програма передбачає подальше посилення боротьби зі злочинністю,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забезпечення громадського порядку,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поліпшення профілактичної роботи, активізацію роботи громадського формуван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охорони громадського порядку з метою забезпечення прав і свобод людини і громадянина, надання допомоги 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фінансовому і матеріально-технічному забезпеченні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юридичним особам, які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здійснюють повноваження в сфері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01C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охорони громадського порядку та боротьби зі злочинністю</w:t>
      </w:r>
    </w:p>
    <w:p w:rsidR="00004ADF" w:rsidRPr="00DF331E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3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Основними завданнями Програми є: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 рівня правової освіти населення з питань участі в правоохоронній діяльності;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активізація залучення різних категорій населення та об’єднань громадян до охорони громадського порядку та боротьби зі злочинністю;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 ефективності їх функціонування шляхом удосконалення  управління та розвитку організаційних структур;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 матеріально-технічного та фінансового забезпечення діяльності юридичних осіб, які займаються охороною громадського порядку,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попередженням правопорушень та боротьбою зі злочинністю на території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4ADF" w:rsidRPr="002A56E4" w:rsidRDefault="00004ADF" w:rsidP="00004ADF">
      <w:pPr>
        <w:numPr>
          <w:ilvl w:val="0"/>
          <w:numId w:val="1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забезпечити широке висвітлення діяльності населення, правоохоронних органів,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громадського формування з охорони громадського порядку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4ADF" w:rsidRPr="002A56E4" w:rsidRDefault="00004ADF" w:rsidP="00004ADF">
      <w:p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Default="00004ADF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r w:rsid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Очікувані результати від виконання Програми</w:t>
      </w:r>
    </w:p>
    <w:p w:rsidR="00004ADF" w:rsidRPr="002563B2" w:rsidRDefault="00004ADF" w:rsidP="00004AD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 Програми дасть змогу: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посилити взаємодію правоохоронних органів, місцевих органів виконавчої влади та органів місцевого самоврядування щодо охорони громадського порядку та боротьби зі злочинністю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території Станіславської сільської ради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активізувати участь широких верств населення у правоохоронній діяльності;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забезпечити належну матеріально-технічну і фінансову підтримку діяльності громадських формувань,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інспектора правопорядку та благоустрою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юридичних осіб, які здійснюють діяльність у цій сфері;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підвищити ефективність діяльності органів внутрішніх справ;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поліпшити стан правопорядку в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створити додаткові умови для забезпечення особистої безпеки громадян і профілактики правопорушень;</w:t>
      </w:r>
    </w:p>
    <w:p w:rsidR="00004ADF" w:rsidRPr="002A56E4" w:rsidRDefault="00004ADF" w:rsidP="00004ADF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DF331E" w:rsidRPr="00DF331E" w:rsidRDefault="00DF331E" w:rsidP="00685105">
      <w:p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Pr="00685105" w:rsidRDefault="00004ADF" w:rsidP="00DF331E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DF33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.Заходи щодо реалізації програми </w:t>
      </w:r>
    </w:p>
    <w:p w:rsidR="00DF331E" w:rsidRPr="00685105" w:rsidRDefault="00DF331E" w:rsidP="00DF331E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Аналіз стану правопорядку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території Станіславської сільської ради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визначення пріоритетних напрямів діяльності щодо запобіганням злочинним проявам.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Визначення завдань для 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інспектора правопорядку та благоустрою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(організац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ії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формування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як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</w:t>
      </w:r>
      <w:r w:rsid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уть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здійснювати  охорону громадського порядку та завдання щодо реалізації даної програми.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попередження та мінімізації кримінального впливу на неповнолітніх та молодь, посилення боротьби з незаконним обігом наркотичних засобів, психотропних речовин, здійснення спільних оперативно-профілактичних операцій з протидії розповсюдженню наркотичних засобів у навчально-виховних та розважальних закладах.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метою належної протидії тяжким та особливо тяжким злочинам, незаконному обігу зброї та вибухівки, розшуку злочинців та осіб, причетних до цього, спільно з відділом поліції проведення спеціальних рейдів.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Участь у перевірці органами внутрішніх справ дотримання законодавства суб’єктами господарської та підприємницької діяльності, особливо у нічний час.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метою координації дій забезпечення обміну інформацією щодо скоєння правопорушень з боку неповнолітніх з виконавчим комітетом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Станіславської сільської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 створенню необхідних умов для проживання та виховання дітей у сім’ї, які б виключали негативне побутове оточення та насильство в сім’ї. Притягнення до відповідальності батьків за неналежне виховання, навчання та розвиток дитини згідно чинного законодавства.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Проведення операцій щодо виявлення дітей, які жебракують, чинять правопорушення або стали жертвами злочинної діяльності дорослих.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метою формування у населення позитивної громадської думки висвітлення на офіційному сайті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сільської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інформації про роботу працівників поліції,  громадськ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ого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формуван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інших підприємств,   які приймають участь в реалізації заходів даної програми.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та спортом, проведення систематичних змагань, інших 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праці.</w:t>
      </w:r>
    </w:p>
    <w:p w:rsidR="00004ADF" w:rsidRPr="002A56E4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Розроблення заходів щодо охорони громадського порядку, особливо у нічний час, сприяння суворому дотриманню графіків роботи закладів, які працюють у вечірній та нічний час ( кафе, бари,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магазини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4ADF" w:rsidRPr="00685105" w:rsidRDefault="00004ADF" w:rsidP="00004ADF">
      <w:pPr>
        <w:numPr>
          <w:ilvl w:val="0"/>
          <w:numId w:val="3"/>
        </w:num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метою вирішення комплексу завдань з попередження правопорушень, їх фіксації, миттєвого реагування на злочини – подальше розширення системи відеоспостереження, об’єднання всіх засобів відеофіксації в єдину глобальну систему централізованого відеоспостереження «Безпечн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85105" w:rsidRPr="002A56E4" w:rsidRDefault="00685105" w:rsidP="00685105">
      <w:pPr>
        <w:shd w:val="clear" w:color="auto" w:fill="FFFFFF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4ADF" w:rsidRDefault="00004ADF" w:rsidP="00004ADF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6851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І</w:t>
      </w:r>
      <w:r w:rsidRPr="002A56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Обсяги та джерела фінансування Програми</w:t>
      </w:r>
    </w:p>
    <w:p w:rsidR="00685105" w:rsidRPr="00685105" w:rsidRDefault="00685105" w:rsidP="00004ADF">
      <w:pPr>
        <w:shd w:val="clear" w:color="auto" w:fill="FFFFFF"/>
        <w:ind w:left="-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04ADF" w:rsidRPr="00685105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Заходи програми виконуються посадовими особами органу місцевого самоврядування, працівниками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відділу поліції спільно з громадськими організаціями, формуваннями та профільними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510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підприємствами.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:rsidR="00004ADF" w:rsidRPr="00577338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створення системи  централізованого відеоспостереження „Безпечн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необхідно передбачити в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сільському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бюджеті кошти на придбання додаткових засобів спостереження, їх встановлення та обслуговування. </w:t>
      </w:r>
    </w:p>
    <w:p w:rsidR="00004ADF" w:rsidRPr="002A56E4" w:rsidRDefault="00004ADF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Орієнтовний обсяг коштів, необхідний для виконання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</w:t>
      </w:r>
      <w:r w:rsidR="006977D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становить:   </w:t>
      </w:r>
      <w:r w:rsidR="002529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2F52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9</w:t>
      </w:r>
      <w:r w:rsidR="00D946B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</w:t>
      </w:r>
      <w:r w:rsidR="006104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6240D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600</w:t>
      </w:r>
      <w:r w:rsidR="0025293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тис. грн.: в тому числі :</w:t>
      </w:r>
    </w:p>
    <w:p w:rsidR="00004ADF" w:rsidRPr="006977D0" w:rsidRDefault="00252935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="006867F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,000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тис.грн. – створення системи централізованого відеоспостереження „Безпечн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громада</w:t>
      </w:r>
      <w:r w:rsidR="00004ADF"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(придбання, встановлення засобів спостереження та ін.),</w:t>
      </w:r>
    </w:p>
    <w:p w:rsidR="00610493" w:rsidRDefault="006867F8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75</w:t>
      </w:r>
      <w:r w:rsidR="006104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600</w:t>
      </w:r>
      <w:r w:rsidR="006104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тис. грн. – придбання паливо </w:t>
      </w:r>
      <w:r w:rsidR="00F97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 w:rsidR="006104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мастильних</w:t>
      </w:r>
      <w:r w:rsidR="00F97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матеріалів для транспортн</w:t>
      </w:r>
      <w:r w:rsidR="006977D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их</w:t>
      </w:r>
      <w:r w:rsidR="00F97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засоб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ів</w:t>
      </w:r>
      <w:r w:rsidR="00F9756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61049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6867F8" w:rsidRDefault="006867F8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10,000 тис. грн. – поточний ремонт транспортних засобів.</w:t>
      </w:r>
    </w:p>
    <w:p w:rsidR="002F523F" w:rsidRPr="00252935" w:rsidRDefault="00F20FB7" w:rsidP="00004ADF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10</w:t>
      </w:r>
      <w:r w:rsidR="002F523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,000 тис. грн. – придбання радіостанцій.</w:t>
      </w:r>
    </w:p>
    <w:p w:rsid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При необхідності фінансування додаткових заходів Програми  видатки можуть бути збільшені відповідно до потреб.</w:t>
      </w:r>
    </w:p>
    <w:p w:rsidR="00252935" w:rsidRP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2935" w:rsidRPr="002A56E4" w:rsidRDefault="00252935" w:rsidP="0025293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 w:rsidRPr="002A56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Система управління та контролю ходу виконання Програми</w:t>
      </w:r>
    </w:p>
    <w:p w:rsidR="00252935" w:rsidRPr="002A56E4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Координація та контроль виконання заходів Програми здійснюється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Станіславською сільською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радою. Управління бюджетними коштами здійснює розпорядник коштів.</w:t>
      </w:r>
    </w:p>
    <w:p w:rsid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Учасники Програми –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Станіславськ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сільськ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представники правоохоронних органів, профільних підприємств, які здійснюють діяльність у сфері охорони безпеки, громадськ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е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мування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 охорони громадського порядку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звітують про виконання Програми та витрачання коштів на її фінансування не рідше одного разу на рік.</w:t>
      </w:r>
    </w:p>
    <w:p w:rsidR="00252935" w:rsidRPr="00252935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2935" w:rsidRPr="00C31E87" w:rsidRDefault="00252935" w:rsidP="00252935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Станіславський сільський </w:t>
      </w:r>
      <w:r w:rsidRPr="002A5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голова 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</w:t>
      </w:r>
      <w:r w:rsidR="0093524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Іван </w:t>
      </w:r>
      <w:r w:rsidR="006240D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Самойленко</w:t>
      </w:r>
    </w:p>
    <w:p w:rsidR="00004ADF" w:rsidRDefault="00004ADF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  <w:r w:rsidR="000D01C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="000D01C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Програми</w:t>
      </w:r>
    </w:p>
    <w:p w:rsidR="00E205A8" w:rsidRDefault="00E205A8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935" w:rsidRPr="00E205A8" w:rsidRDefault="00252935" w:rsidP="002529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05A8">
        <w:rPr>
          <w:rFonts w:ascii="Times New Roman" w:hAnsi="Times New Roman" w:cs="Times New Roman"/>
          <w:sz w:val="28"/>
          <w:szCs w:val="28"/>
          <w:lang w:val="uk-UA"/>
        </w:rPr>
        <w:t>Обсяг видатків на виконання програми</w:t>
      </w:r>
    </w:p>
    <w:p w:rsidR="00252935" w:rsidRDefault="006240DD" w:rsidP="002529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Фінансового забезпечення на 2021</w:t>
      </w:r>
      <w:r w:rsidR="00252935">
        <w:rPr>
          <w:rFonts w:ascii="Times New Roman" w:hAnsi="Times New Roman" w:cs="Times New Roman"/>
          <w:sz w:val="28"/>
          <w:szCs w:val="28"/>
          <w:lang w:val="uk-UA"/>
        </w:rPr>
        <w:t xml:space="preserve"> рік виконавців власних повноважень Станіславської сільської ради у сферах забезпечення законності та правопорядку «БЕЗПЕЧНА ГРОМАДА»</w:t>
      </w:r>
    </w:p>
    <w:p w:rsidR="00E205A8" w:rsidRDefault="00E205A8" w:rsidP="002529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257"/>
        <w:gridCol w:w="2563"/>
        <w:gridCol w:w="2382"/>
      </w:tblGrid>
      <w:tr w:rsidR="00E205A8" w:rsidTr="006240DD">
        <w:trPr>
          <w:trHeight w:val="1415"/>
        </w:trPr>
        <w:tc>
          <w:tcPr>
            <w:tcW w:w="618" w:type="dxa"/>
          </w:tcPr>
          <w:p w:rsidR="00E205A8" w:rsidRDefault="00E205A8" w:rsidP="00252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205A8" w:rsidRPr="00E205A8" w:rsidRDefault="00E205A8" w:rsidP="00252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57" w:type="dxa"/>
          </w:tcPr>
          <w:p w:rsidR="00E205A8" w:rsidRP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63" w:type="dxa"/>
          </w:tcPr>
          <w:p w:rsid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фінансуванні</w:t>
            </w:r>
          </w:p>
          <w:p w:rsid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 грн</w:t>
            </w:r>
          </w:p>
          <w:p w:rsidR="00935244" w:rsidRPr="00E205A8" w:rsidRDefault="00935244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 рік</w:t>
            </w:r>
          </w:p>
        </w:tc>
        <w:tc>
          <w:tcPr>
            <w:tcW w:w="2382" w:type="dxa"/>
          </w:tcPr>
          <w:p w:rsid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фінансування тис.грн</w:t>
            </w:r>
            <w:r w:rsidR="009352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</w:p>
          <w:p w:rsidR="00935244" w:rsidRPr="00E205A8" w:rsidRDefault="00935244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E205A8" w:rsidTr="006240DD">
        <w:trPr>
          <w:trHeight w:val="2205"/>
        </w:trPr>
        <w:tc>
          <w:tcPr>
            <w:tcW w:w="618" w:type="dxa"/>
          </w:tcPr>
          <w:p w:rsidR="00E205A8" w:rsidRPr="00E205A8" w:rsidRDefault="00E205A8" w:rsidP="002529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57" w:type="dxa"/>
          </w:tcPr>
          <w:p w:rsidR="00E205A8" w:rsidRPr="00E205A8" w:rsidRDefault="00E205A8" w:rsidP="000D01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камер відео спостереження, відповідне оснащення та оплата послуг за встановлення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3" w:type="dxa"/>
          </w:tcPr>
          <w:p w:rsidR="00E205A8" w:rsidRPr="00E205A8" w:rsidRDefault="00E205A8" w:rsidP="00E205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382" w:type="dxa"/>
          </w:tcPr>
          <w:p w:rsidR="00E205A8" w:rsidRDefault="00E205A8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01C6" w:rsidTr="006240DD">
        <w:trPr>
          <w:trHeight w:val="2633"/>
        </w:trPr>
        <w:tc>
          <w:tcPr>
            <w:tcW w:w="618" w:type="dxa"/>
            <w:tcBorders>
              <w:bottom w:val="single" w:sz="4" w:space="0" w:color="auto"/>
            </w:tcBorders>
          </w:tcPr>
          <w:p w:rsidR="000D01C6" w:rsidRPr="00E205A8" w:rsidRDefault="000D01C6" w:rsidP="00CF38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57" w:type="dxa"/>
          </w:tcPr>
          <w:p w:rsidR="000D01C6" w:rsidRPr="00E205A8" w:rsidRDefault="006240DD" w:rsidP="00CF38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Поточний ремонт транспортних засобів</w:t>
            </w:r>
            <w:r w:rsidR="002F5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Pr="00E2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3" w:type="dxa"/>
          </w:tcPr>
          <w:p w:rsidR="000D01C6" w:rsidRPr="00E205A8" w:rsidRDefault="006240DD" w:rsidP="00CF3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0,000</w:t>
            </w:r>
          </w:p>
        </w:tc>
        <w:tc>
          <w:tcPr>
            <w:tcW w:w="2382" w:type="dxa"/>
          </w:tcPr>
          <w:p w:rsidR="000D01C6" w:rsidRDefault="000D01C6" w:rsidP="00CF38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0DD" w:rsidTr="006240DD">
        <w:trPr>
          <w:trHeight w:val="1395"/>
        </w:trPr>
        <w:tc>
          <w:tcPr>
            <w:tcW w:w="618" w:type="dxa"/>
          </w:tcPr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6240DD" w:rsidRPr="006240DD" w:rsidRDefault="006240DD" w:rsidP="0062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0DD" w:rsidRPr="006240DD" w:rsidRDefault="006240DD" w:rsidP="0062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0DD" w:rsidRDefault="006240DD" w:rsidP="0062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40DD" w:rsidRPr="006240DD" w:rsidRDefault="006240DD" w:rsidP="0062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</w:tcPr>
          <w:p w:rsidR="006240DD" w:rsidRPr="00E205A8" w:rsidRDefault="006240DD" w:rsidP="004C36AA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Придбання паливо-мастильних матеріалів для транспортного засобу.</w:t>
            </w:r>
          </w:p>
        </w:tc>
        <w:tc>
          <w:tcPr>
            <w:tcW w:w="2563" w:type="dxa"/>
          </w:tcPr>
          <w:p w:rsidR="006240DD" w:rsidRDefault="006240DD" w:rsidP="004C36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75,600</w:t>
            </w:r>
          </w:p>
        </w:tc>
        <w:tc>
          <w:tcPr>
            <w:tcW w:w="2382" w:type="dxa"/>
          </w:tcPr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40DD" w:rsidTr="006240DD">
        <w:trPr>
          <w:trHeight w:val="1223"/>
        </w:trPr>
        <w:tc>
          <w:tcPr>
            <w:tcW w:w="618" w:type="dxa"/>
          </w:tcPr>
          <w:p w:rsidR="006240DD" w:rsidRDefault="006240DD" w:rsidP="00624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257" w:type="dxa"/>
          </w:tcPr>
          <w:p w:rsidR="006240DD" w:rsidRDefault="006240DD" w:rsidP="004C36AA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Придбання радіостанцій</w:t>
            </w:r>
            <w:r w:rsidR="002F52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63" w:type="dxa"/>
          </w:tcPr>
          <w:p w:rsidR="006240DD" w:rsidRDefault="006240DD" w:rsidP="00D94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 w:rsidR="00D94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,000</w:t>
            </w:r>
          </w:p>
        </w:tc>
        <w:tc>
          <w:tcPr>
            <w:tcW w:w="2382" w:type="dxa"/>
          </w:tcPr>
          <w:p w:rsidR="006240DD" w:rsidRDefault="006240DD" w:rsidP="004C3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D01C6" w:rsidTr="006240DD">
        <w:trPr>
          <w:trHeight w:val="708"/>
        </w:trPr>
        <w:tc>
          <w:tcPr>
            <w:tcW w:w="618" w:type="dxa"/>
          </w:tcPr>
          <w:p w:rsidR="000D01C6" w:rsidRDefault="000D01C6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</w:tcPr>
          <w:p w:rsidR="000D01C6" w:rsidRDefault="000D01C6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63" w:type="dxa"/>
          </w:tcPr>
          <w:p w:rsidR="000D01C6" w:rsidRPr="00E205A8" w:rsidRDefault="002F523F" w:rsidP="00D946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D946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0D0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82" w:type="dxa"/>
          </w:tcPr>
          <w:p w:rsidR="000D01C6" w:rsidRDefault="000D01C6" w:rsidP="002529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2935" w:rsidRDefault="00252935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5A8" w:rsidRDefault="00E205A8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5A8" w:rsidRDefault="00E205A8" w:rsidP="002529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5A8" w:rsidRPr="00E205A8" w:rsidRDefault="00E205A8" w:rsidP="00252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A8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20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2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5244">
        <w:rPr>
          <w:rFonts w:ascii="Times New Roman" w:hAnsi="Times New Roman" w:cs="Times New Roman"/>
          <w:sz w:val="28"/>
          <w:szCs w:val="28"/>
          <w:lang w:val="uk-UA"/>
        </w:rPr>
        <w:t>Тетяна СТАСЮК</w:t>
      </w:r>
      <w:bookmarkStart w:id="0" w:name="_GoBack"/>
      <w:bookmarkEnd w:id="0"/>
    </w:p>
    <w:sectPr w:rsidR="00E205A8" w:rsidRPr="00E205A8" w:rsidSect="004828A7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50" w:rsidRDefault="00594950" w:rsidP="00004ADF">
      <w:r>
        <w:separator/>
      </w:r>
    </w:p>
  </w:endnote>
  <w:endnote w:type="continuationSeparator" w:id="0">
    <w:p w:rsidR="00594950" w:rsidRDefault="00594950" w:rsidP="000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50" w:rsidRDefault="00594950" w:rsidP="00004ADF">
      <w:r>
        <w:separator/>
      </w:r>
    </w:p>
  </w:footnote>
  <w:footnote w:type="continuationSeparator" w:id="0">
    <w:p w:rsidR="00594950" w:rsidRDefault="00594950" w:rsidP="0000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3713"/>
      <w:docPartObj>
        <w:docPartGallery w:val="Page Numbers (Top of Page)"/>
        <w:docPartUnique/>
      </w:docPartObj>
    </w:sdtPr>
    <w:sdtEndPr/>
    <w:sdtContent>
      <w:p w:rsidR="00E205A8" w:rsidRDefault="005949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2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05A8" w:rsidRDefault="00E205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17E"/>
    <w:multiLevelType w:val="multilevel"/>
    <w:tmpl w:val="4F2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37B1A"/>
    <w:multiLevelType w:val="multilevel"/>
    <w:tmpl w:val="821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D2BC2"/>
    <w:multiLevelType w:val="multilevel"/>
    <w:tmpl w:val="B7FC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37"/>
    <w:rsid w:val="00004ADF"/>
    <w:rsid w:val="00045D70"/>
    <w:rsid w:val="000D01C6"/>
    <w:rsid w:val="001C0DDF"/>
    <w:rsid w:val="001F7A42"/>
    <w:rsid w:val="00252935"/>
    <w:rsid w:val="002F523F"/>
    <w:rsid w:val="00386A80"/>
    <w:rsid w:val="004828A7"/>
    <w:rsid w:val="00520A57"/>
    <w:rsid w:val="00577338"/>
    <w:rsid w:val="00594950"/>
    <w:rsid w:val="00610493"/>
    <w:rsid w:val="006240DD"/>
    <w:rsid w:val="00652DCC"/>
    <w:rsid w:val="00685105"/>
    <w:rsid w:val="006867F8"/>
    <w:rsid w:val="006977D0"/>
    <w:rsid w:val="006C7348"/>
    <w:rsid w:val="00732937"/>
    <w:rsid w:val="00747514"/>
    <w:rsid w:val="007E2FE3"/>
    <w:rsid w:val="00935244"/>
    <w:rsid w:val="009F6396"/>
    <w:rsid w:val="00A447FE"/>
    <w:rsid w:val="00B70EDC"/>
    <w:rsid w:val="00B72D33"/>
    <w:rsid w:val="00BA319A"/>
    <w:rsid w:val="00BA4CA9"/>
    <w:rsid w:val="00CD6245"/>
    <w:rsid w:val="00D946BE"/>
    <w:rsid w:val="00DF331E"/>
    <w:rsid w:val="00E205A8"/>
    <w:rsid w:val="00E40CD1"/>
    <w:rsid w:val="00EC2DF8"/>
    <w:rsid w:val="00F20FB7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94BB-8877-44EE-8EFC-2C30AEE1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ADF"/>
  </w:style>
  <w:style w:type="paragraph" w:styleId="a5">
    <w:name w:val="footer"/>
    <w:basedOn w:val="a"/>
    <w:link w:val="a6"/>
    <w:uiPriority w:val="99"/>
    <w:semiHidden/>
    <w:unhideWhenUsed/>
    <w:rsid w:val="0000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Завещана Ольга</cp:lastModifiedBy>
  <cp:revision>10</cp:revision>
  <cp:lastPrinted>2020-12-03T07:04:00Z</cp:lastPrinted>
  <dcterms:created xsi:type="dcterms:W3CDTF">2019-10-09T06:28:00Z</dcterms:created>
  <dcterms:modified xsi:type="dcterms:W3CDTF">2020-12-03T11:31:00Z</dcterms:modified>
</cp:coreProperties>
</file>