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C0" w:rsidRPr="002525C0" w:rsidRDefault="00732937" w:rsidP="002525C0">
      <w:pPr>
        <w:spacing w:line="259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2525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525C0" w:rsidRPr="00252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ЗАТВЕРДЖЕНО:</w:t>
      </w:r>
    </w:p>
    <w:p w:rsidR="002525C0" w:rsidRPr="002525C0" w:rsidRDefault="002525C0" w:rsidP="002525C0">
      <w:pPr>
        <w:shd w:val="clear" w:color="auto" w:fill="FFFFFF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ХХХІХ сесії сільської ради</w:t>
      </w:r>
    </w:p>
    <w:p w:rsidR="002525C0" w:rsidRPr="002525C0" w:rsidRDefault="002525C0" w:rsidP="002525C0">
      <w:pPr>
        <w:shd w:val="clear" w:color="auto" w:fill="FFFFFF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5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скликання </w:t>
      </w:r>
    </w:p>
    <w:p w:rsidR="002525C0" w:rsidRPr="002525C0" w:rsidRDefault="002525C0" w:rsidP="002525C0">
      <w:pPr>
        <w:ind w:left="45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C0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20.12.2019 № 686/1013</w:t>
      </w:r>
      <w:r w:rsidRPr="0025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732937" w:rsidRPr="002525C0" w:rsidRDefault="00732937" w:rsidP="002525C0">
      <w:pPr>
        <w:rPr>
          <w:rFonts w:ascii="Times New Roman" w:hAnsi="Times New Roman" w:cs="Times New Roman"/>
          <w:sz w:val="28"/>
          <w:szCs w:val="28"/>
        </w:rPr>
      </w:pPr>
    </w:p>
    <w:p w:rsidR="00E40CD1" w:rsidRDefault="00E40C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0CD1" w:rsidRDefault="00E40CD1" w:rsidP="00E40C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E40CD1" w:rsidRDefault="00E40CD1" w:rsidP="00E40C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Фінансового забезпечення на 2020 рік виконавців власних повноважень Станіславської сільської ради у сферах забезпеч</w:t>
      </w:r>
      <w:r w:rsidR="00004ADF">
        <w:rPr>
          <w:rFonts w:ascii="Times New Roman" w:hAnsi="Times New Roman" w:cs="Times New Roman"/>
          <w:sz w:val="28"/>
          <w:szCs w:val="28"/>
          <w:lang w:val="uk-UA"/>
        </w:rPr>
        <w:t>ення законності та правопорядку «БЕЗПЕЧНА ГРОМАДА»</w:t>
      </w:r>
    </w:p>
    <w:p w:rsidR="00E40CD1" w:rsidRDefault="00E40CD1" w:rsidP="00E40C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0CD1" w:rsidRDefault="00E40CD1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CD1">
        <w:rPr>
          <w:rFonts w:ascii="Times New Roman" w:hAnsi="Times New Roman" w:cs="Times New Roman"/>
          <w:b/>
          <w:sz w:val="28"/>
          <w:szCs w:val="28"/>
          <w:lang w:val="uk-UA"/>
        </w:rPr>
        <w:t>І. Паспорт Програми</w:t>
      </w:r>
    </w:p>
    <w:p w:rsidR="00A447FE" w:rsidRDefault="00A447FE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005"/>
        <w:gridCol w:w="4260"/>
      </w:tblGrid>
      <w:tr w:rsidR="00E40CD1" w:rsidTr="00E40CD1">
        <w:trPr>
          <w:trHeight w:val="675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005" w:type="dxa"/>
          </w:tcPr>
          <w:p w:rsidR="00E40CD1" w:rsidRPr="00A447FE" w:rsidRDefault="00A447FE" w:rsidP="00A447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розроблення Програми</w:t>
            </w:r>
          </w:p>
        </w:tc>
        <w:tc>
          <w:tcPr>
            <w:tcW w:w="4260" w:type="dxa"/>
          </w:tcPr>
          <w:p w:rsidR="00E40CD1" w:rsidRPr="00A447FE" w:rsidRDefault="00A447FE" w:rsidP="00A447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інспектор правопорядку та благоустрою</w:t>
            </w:r>
          </w:p>
        </w:tc>
      </w:tr>
      <w:tr w:rsidR="00E40CD1" w:rsidTr="00E40CD1">
        <w:trPr>
          <w:trHeight w:val="885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005" w:type="dxa"/>
          </w:tcPr>
          <w:p w:rsidR="00E40CD1" w:rsidRPr="00A447FE" w:rsidRDefault="00A447FE" w:rsidP="00A447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 Програми</w:t>
            </w:r>
          </w:p>
        </w:tc>
        <w:tc>
          <w:tcPr>
            <w:tcW w:w="4260" w:type="dxa"/>
          </w:tcPr>
          <w:p w:rsidR="00E40CD1" w:rsidRDefault="00A447FE" w:rsidP="00A447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інспектор правопорядку та благоустрою</w:t>
            </w:r>
          </w:p>
        </w:tc>
      </w:tr>
      <w:tr w:rsidR="00E40CD1" w:rsidTr="00E40CD1">
        <w:trPr>
          <w:trHeight w:val="780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005" w:type="dxa"/>
          </w:tcPr>
          <w:p w:rsidR="00E40CD1" w:rsidRPr="00A447FE" w:rsidRDefault="00A447FE" w:rsidP="00A447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260" w:type="dxa"/>
          </w:tcPr>
          <w:p w:rsidR="00E40CD1" w:rsidRPr="00A447FE" w:rsidRDefault="004828A7" w:rsidP="00A447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Станіславська сільська рада Старший інспектор правопорядку та благоустрою</w:t>
            </w:r>
          </w:p>
        </w:tc>
      </w:tr>
      <w:tr w:rsidR="00E40CD1" w:rsidTr="00E40CD1">
        <w:trPr>
          <w:trHeight w:val="870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005" w:type="dxa"/>
          </w:tcPr>
          <w:p w:rsidR="00E40CD1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 (співвиконавці)</w:t>
            </w:r>
          </w:p>
        </w:tc>
        <w:tc>
          <w:tcPr>
            <w:tcW w:w="4260" w:type="dxa"/>
          </w:tcPr>
          <w:p w:rsidR="00E40CD1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Станіславська сільська рада Старший інспектор правопорядку та благоустрою</w:t>
            </w:r>
          </w:p>
        </w:tc>
      </w:tr>
      <w:tr w:rsidR="00E40CD1" w:rsidTr="00E40CD1">
        <w:trPr>
          <w:trHeight w:val="810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005" w:type="dxa"/>
          </w:tcPr>
          <w:p w:rsidR="00E40CD1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4260" w:type="dxa"/>
          </w:tcPr>
          <w:p w:rsidR="00E40CD1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</w:tr>
      <w:tr w:rsidR="00E40CD1" w:rsidTr="00E40CD1">
        <w:trPr>
          <w:trHeight w:val="1170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005" w:type="dxa"/>
          </w:tcPr>
          <w:p w:rsidR="00E40CD1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260" w:type="dxa"/>
          </w:tcPr>
          <w:p w:rsidR="00E40CD1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бюджет</w:t>
            </w:r>
          </w:p>
        </w:tc>
      </w:tr>
      <w:tr w:rsidR="00E40CD1" w:rsidTr="00A447FE">
        <w:trPr>
          <w:trHeight w:val="1170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005" w:type="dxa"/>
          </w:tcPr>
          <w:p w:rsidR="00E40CD1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фінансових ресурсів, необхідних для реалізації Програми, усього</w:t>
            </w:r>
          </w:p>
        </w:tc>
        <w:tc>
          <w:tcPr>
            <w:tcW w:w="4260" w:type="dxa"/>
          </w:tcPr>
          <w:p w:rsidR="00E40CD1" w:rsidRPr="004828A7" w:rsidRDefault="004828A7" w:rsidP="000D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D0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D0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</w:t>
            </w:r>
          </w:p>
        </w:tc>
      </w:tr>
      <w:tr w:rsidR="00A447FE" w:rsidTr="00E40CD1">
        <w:trPr>
          <w:trHeight w:val="1170"/>
        </w:trPr>
        <w:tc>
          <w:tcPr>
            <w:tcW w:w="540" w:type="dxa"/>
          </w:tcPr>
          <w:p w:rsidR="00A447FE" w:rsidRPr="00A447FE" w:rsidRDefault="00A447FE" w:rsidP="00E40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005" w:type="dxa"/>
          </w:tcPr>
          <w:p w:rsidR="00A447FE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260" w:type="dxa"/>
          </w:tcPr>
          <w:p w:rsidR="00A447FE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здійснюється за рахунок коштів сільського бюджету</w:t>
            </w:r>
          </w:p>
        </w:tc>
      </w:tr>
    </w:tbl>
    <w:p w:rsidR="00E40CD1" w:rsidRDefault="00E40CD1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Default="00004ADF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Default="00004ADF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Default="00004ADF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Default="00004ADF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Default="00004ADF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31E" w:rsidRDefault="00DF331E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31E" w:rsidRDefault="00DF331E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Default="00004ADF" w:rsidP="00DF3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Загальна характеристика Програми</w:t>
      </w:r>
    </w:p>
    <w:p w:rsidR="00004ADF" w:rsidRDefault="00004ADF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Pr="005808F3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Програма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БЕЗПЕЧН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ГРОМАДА»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20 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ік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(далі-Програма) розроблена відповідно до Законів України „Про національну поліцію”,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“Про участь громадян в охороні громадського порядку і державного кордону”,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Указу Президента „Про заходи щодо забезпечення особистої безпеки громадян та протидії злочинності”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 метою запобігання та припинення адміністративних правопорушень і злочинів,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захисту життя та здоров’я громадян, інтересів суспільства і держави від протиправних посягань.</w:t>
      </w:r>
    </w:p>
    <w:p w:rsidR="00004ADF" w:rsidRPr="0026230D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основу реалізації Програми покладено принцип об’єднання зусиль органів місцевого самоврядування, правоохоронних органів, підприємств, організацій та установ різних форм власності,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громадськості для забезпечення охорони громадського порядку та профілактики злочинності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території Станіславської сільської ради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04ADF" w:rsidRPr="0026230D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Питання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активізації участі населення у правоохоронній роботі, підтримки громадянами діяльності органів внутрішніх справ, залучення до цієї роботи підприємств, організацій та установ різних форм власності постає дуже гостро у зв’язку з реформуванням старої системи органів внутрішніх справ та різк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 збільшенням проявів злочинності в сел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ах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Станіслав, Широка Балка, Софіївка 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протягом останнього періоду.</w:t>
      </w:r>
    </w:p>
    <w:p w:rsidR="00004ADF" w:rsidRPr="002A56E4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нормативами  навантаження на одного дільничного  має становити в сільській місцевості до 2,2 тис. жителів. На даний час  один дільничний офіцер поліції обслуговує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Станіслав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Широку Балку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Софіївку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загальна кількість населення в межах зони обслуговування  становить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7,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 тис. осіб.</w:t>
      </w:r>
    </w:p>
    <w:p w:rsidR="00004ADF" w:rsidRPr="002A56E4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 стан справ знижує оперативність реагування на правопорушення, негативно впливає на рівень забезпечення громадського порядку та ефективності боротьби зі злочинністю. У зв’язку з цим широке залучення громадськості, профільних підприємств, організацій та установ різних форм власності до діяльності з охорони громадського порядку та протидії злочинності набуває першочергового значення.</w:t>
      </w:r>
    </w:p>
    <w:p w:rsidR="00004ADF" w:rsidRPr="000D01C6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Потребує активізації також інформаційно-роз’яснювальна робота, що проводиться серед населення, з метою доведення необхідності участі громадян в охороні громадського порядку, профілактики правопорушень та боротьби зі злочинністю.</w:t>
      </w:r>
    </w:p>
    <w:p w:rsidR="00004ADF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цілому рівень участі громадян у правоохоронній роботі  є недостатнім. Такий стан справ зумовлений різними факторами. Одним з найболючіших питань у діяльності громадських формувань є низький рівень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їх фінансування та матеріально-технічного забезпечення, що не дозволяє повною мірою залучити громадян до відповідної роботи.</w:t>
      </w:r>
    </w:p>
    <w:p w:rsidR="00DF331E" w:rsidRPr="00DF331E" w:rsidRDefault="00DF331E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04ADF" w:rsidRDefault="00004ADF" w:rsidP="00004AD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610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</w:t>
      </w:r>
      <w:r w:rsidR="00DF3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Pr="00610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 Мета і завдання програми</w:t>
      </w:r>
    </w:p>
    <w:p w:rsidR="00DF331E" w:rsidRPr="00DF331E" w:rsidRDefault="00DF331E" w:rsidP="00004AD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04ADF" w:rsidRPr="000D01C6" w:rsidRDefault="00DF331E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Мета Програми полягає у забезпеченні ефективної підтримки місцевим органом виконавчої влади, органом місцевого самоврядування та населенням діяльності громадськ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ого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формуван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ня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охорон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громадського порядку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території Станіславської сільської ради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спрямованої на підвищення загального рівня правопорядку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території Станіславської сільської ради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захист життя, здоров’я, честі і гідності населення, цілодобову охорону громадського порядку в сел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ах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профілактичну роботу по попередженню злочинності та забезпеченні комплексного підходу до розв’язання проблем, пов’язаних з питаннями безпеки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території Станіславської сільської ради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04ADF" w:rsidRPr="000D01C6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Дана програма передбачає подальше посилення боротьби зі злочинністю,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забезпечення громадського порядку,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поліпшення профілактичної роботи, активізацію роботи громадського формуван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ня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охорони громадського порядку з метою забезпечення прав і свобод людини і громадянина, надання допомоги у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фінансовому і матеріально-технічному забезпеченні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юридичним особам, які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здійснюють повноваження в сфері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охорони громадського порядку та боротьби зі злочинністю</w:t>
      </w:r>
    </w:p>
    <w:p w:rsidR="00004ADF" w:rsidRPr="00DF331E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33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Основними завданнями Програми є:</w:t>
      </w:r>
    </w:p>
    <w:p w:rsidR="00004ADF" w:rsidRPr="002A56E4" w:rsidRDefault="00004ADF" w:rsidP="00004ADF">
      <w:pPr>
        <w:numPr>
          <w:ilvl w:val="0"/>
          <w:numId w:val="1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 рівня правової освіти населення з питань участі в правоохоронній діяльності;</w:t>
      </w:r>
    </w:p>
    <w:p w:rsidR="00004ADF" w:rsidRPr="002A56E4" w:rsidRDefault="00004ADF" w:rsidP="00004ADF">
      <w:pPr>
        <w:numPr>
          <w:ilvl w:val="0"/>
          <w:numId w:val="1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активізація залучення різних категорій населення та об’єднань громадян до охорони громадського порядку та боротьби зі злочинністю;</w:t>
      </w:r>
    </w:p>
    <w:p w:rsidR="00004ADF" w:rsidRPr="002A56E4" w:rsidRDefault="00004ADF" w:rsidP="00004ADF">
      <w:pPr>
        <w:numPr>
          <w:ilvl w:val="0"/>
          <w:numId w:val="1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 ефективності їх функціонування шляхом удосконалення  управління та розвитку організаційних структур;</w:t>
      </w:r>
    </w:p>
    <w:p w:rsidR="00004ADF" w:rsidRPr="002A56E4" w:rsidRDefault="00004ADF" w:rsidP="00004ADF">
      <w:pPr>
        <w:numPr>
          <w:ilvl w:val="0"/>
          <w:numId w:val="1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поліпшення матеріально-технічного та фінансового забезпечення діяльності юридичних осіб, які займаються охороною громадського порядку,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попередженням правопорушень та боротьбою зі злочинністю на території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громади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4ADF" w:rsidRPr="002A56E4" w:rsidRDefault="00004ADF" w:rsidP="00004ADF">
      <w:pPr>
        <w:numPr>
          <w:ilvl w:val="0"/>
          <w:numId w:val="1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забезпечити широке висвітлення діяльності населення, правоохоронних органів,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громадського формування з охорони громадського порядку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4ADF" w:rsidRPr="002A56E4" w:rsidRDefault="00004ADF" w:rsidP="00004ADF">
      <w:p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4ADF" w:rsidRDefault="00004ADF" w:rsidP="00004AD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A56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</w:t>
      </w:r>
      <w:r w:rsidR="00DF3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Pr="002A56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Очікувані результати від виконання Програми</w:t>
      </w:r>
    </w:p>
    <w:p w:rsidR="00004ADF" w:rsidRPr="002563B2" w:rsidRDefault="00004ADF" w:rsidP="00004AD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04ADF" w:rsidRPr="002A56E4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 Програми дасть змогу:</w:t>
      </w:r>
    </w:p>
    <w:p w:rsidR="00004ADF" w:rsidRPr="002A56E4" w:rsidRDefault="00004ADF" w:rsidP="00004ADF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посилити взаємодію правоохоронних органів, місцевих органів виконавчої влади та органів місцевого самоврядування щодо охорони громадського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порядку та боротьби зі злочинністю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території Станіславської сільської ради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4ADF" w:rsidRPr="002A56E4" w:rsidRDefault="00004ADF" w:rsidP="00004ADF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активізувати участь широких верств населення у правоохоронній діяльності;</w:t>
      </w:r>
    </w:p>
    <w:p w:rsidR="00004ADF" w:rsidRPr="002A56E4" w:rsidRDefault="00004ADF" w:rsidP="00004ADF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забезпечити належну матеріально-технічну і фінансову підтримку діяльності громадських формувань,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інспектора правопорядку та благоустрою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юридичних осіб, які здійснюють діяльність у цій сфері;</w:t>
      </w:r>
    </w:p>
    <w:p w:rsidR="00004ADF" w:rsidRPr="002A56E4" w:rsidRDefault="00004ADF" w:rsidP="00004ADF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підвищити ефективність діяльності органів внутрішніх справ;</w:t>
      </w:r>
    </w:p>
    <w:p w:rsidR="00004ADF" w:rsidRPr="002A56E4" w:rsidRDefault="00004ADF" w:rsidP="00004ADF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поліпшити стан правопорядку в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громаді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створити додаткові умови для забезпечення особистої безпеки громадян і профілактики правопорушень;</w:t>
      </w:r>
    </w:p>
    <w:p w:rsidR="00004ADF" w:rsidRPr="002A56E4" w:rsidRDefault="00004ADF" w:rsidP="00004ADF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мінімізувати злочинний вплив на молодь та підлітків, усунути причини та умови, що сприяють втягненню їх у протиправну діяльність.</w:t>
      </w:r>
    </w:p>
    <w:p w:rsidR="00DF331E" w:rsidRPr="00DF331E" w:rsidRDefault="00DF331E" w:rsidP="00685105">
      <w:p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4ADF" w:rsidRPr="00685105" w:rsidRDefault="00004ADF" w:rsidP="00DF331E">
      <w:pPr>
        <w:shd w:val="clear" w:color="auto" w:fill="FFFFFF"/>
        <w:ind w:left="-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3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Pr="00DF3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.Заходи щодо реалізації програми </w:t>
      </w:r>
    </w:p>
    <w:p w:rsidR="00DF331E" w:rsidRPr="00685105" w:rsidRDefault="00DF331E" w:rsidP="00DF331E">
      <w:pPr>
        <w:shd w:val="clear" w:color="auto" w:fill="FFFFFF"/>
        <w:ind w:left="-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Аналіз стану правопорядку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території Станіславської сільської ради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визначення пріоритетних напрямів діяльності щодо запобіганням злочинним проявам.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Визначення завдань для </w:t>
      </w:r>
      <w:r w:rsid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інспектора правопорядку та благоустрою</w:t>
      </w:r>
      <w:r w:rsidR="00685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(організац</w:t>
      </w:r>
      <w:r w:rsid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ії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формування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як</w:t>
      </w:r>
      <w:r w:rsid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</w:t>
      </w:r>
      <w:r w:rsid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уть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здійснювати  охорону громадського порядку та завдання щодо реалізації даної програми.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попередження та мінімізації кримінального впливу на неповнолітніх та молодь, посилення боротьби з незаконним обігом наркотичних засобів, психотропних речовин, здійснення спільних оперативно-профілактичних операцій з протидії розповсюдженню наркотичних засобів у навчально-виховних та розважальних закладах.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метою належної протидії тяжким та особливо тяжким злочинам, незаконному обігу зброї та вибухівки, розшуку злочинців та осіб, причетних до цього, спільно з відділом поліції проведення спеціальних рейдів.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Участь у перевірці органами внутрішніх справ дотримання законодавства суб’єктами господарської та підприємницької діяльності, особливо у нічний час.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 оперативно профілактичних операцій з метою запобігання негативним проявам серед неповнолітніх, у тому числі пияцтва, наркоманії, дитячої бездоглядності й безпритульності, а також виявлення і притягнення до відповідальності дорослих осіб, які негативно впливають на виховання дітей, втягують неповнолітніх у злочинну діяльність, наркоманію, проституцію, жебрацтво тощо.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метою координації дій забезпечення обміну інформацією щодо скоєння правопорушень з боку неповнолітніх з виконавчим комітетом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Станіславської сільської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Сприяння створенню необхідних умов для проживання та виховання дітей у сім’ї, які б виключали негативне побутове оточення та насильство в сім’ї.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Притягнення до відповідальності батьків за неналежне виховання, навчання та розвиток дитини згідно чинного законодавства.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 операцій щодо виявлення дітей, які жебракують, чинять правопорушення або стали жертвами злочинної діяльності дорослих.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метою формування у населення позитивної громадської думки висвітлення на офіційному сайті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сільської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інформації про роботу працівників поліції,  громадськ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ого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формуван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ня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інших підприємств,   які приймають участь в реалізації заходів даної програми.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метою профілактики злочинності в підлітковому та молодіжному середовищі аналіз стану та ефективності залучення підлітків та молоді до масових занять фізичною культурою та спортом, проведення систематичних змагань, інших фізкультурно-оздоровчих заходів та здійснювати скоординований план дій щодо активізації спортивно-масової роботи серед молоді за місцем проживання, навчання, праці.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Розроблення заходів щодо охорони громадського порядку, особливо у нічний час, сприяння суворому дотриманню графіків роботи закладів, які працюють у вечірній та нічний час ( кафе, бари,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магазини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4ADF" w:rsidRPr="00685105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метою вирішення комплексу завдань з попередження правопорушень, їх фіксації, миттєвого реагування на злочини – подальше розширення системи відеоспостереження, об’єднання всіх засобів відеофіксації в єдину глобальну систему централізованого відеоспостереження «Безпечн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685105" w:rsidRPr="002A56E4" w:rsidRDefault="00685105" w:rsidP="00685105">
      <w:p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4ADF" w:rsidRDefault="00004ADF" w:rsidP="00004ADF">
      <w:pPr>
        <w:shd w:val="clear" w:color="auto" w:fill="FFFFFF"/>
        <w:ind w:left="-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A56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="006851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</w:t>
      </w:r>
      <w:r w:rsidRPr="002A56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A56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Обсяги та джерела фінансування Програми</w:t>
      </w:r>
    </w:p>
    <w:p w:rsidR="00685105" w:rsidRPr="00685105" w:rsidRDefault="00685105" w:rsidP="00004ADF">
      <w:pPr>
        <w:shd w:val="clear" w:color="auto" w:fill="FFFFFF"/>
        <w:ind w:left="-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04ADF" w:rsidRPr="00685105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Заходи програми виконуються посадовими особами органу місцевого самоврядування, працівниками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відділу поліції спільно з громадськими організаціями, формуваннями та профільними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підприємствами.</w:t>
      </w:r>
    </w:p>
    <w:p w:rsidR="00004ADF" w:rsidRPr="002A56E4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 Програми здійснюється в межах фінансових можливостей місцевого бюджету та інших передбачених законодавством  джерел.</w:t>
      </w:r>
    </w:p>
    <w:p w:rsidR="00004ADF" w:rsidRPr="00577338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створення системи  централізованого відеоспостереження „Безпечн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необхідно передбачити в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сільському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бюджеті кошти на придбання додаткових засобів спостереження, їх встановлення та обслуговування. Так</w:t>
      </w:r>
      <w:r w:rsidR="00BA4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 передбач</w:t>
      </w:r>
      <w:r w:rsidR="00BA4C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ити</w:t>
      </w:r>
      <w:r w:rsidR="00BA4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фінансування</w:t>
      </w:r>
      <w:r w:rsidR="00BA4C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для придбання</w:t>
      </w:r>
      <w:r w:rsidR="005773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безпілотного літального апарату (дрон) «</w:t>
      </w:r>
      <w:r w:rsidR="005773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dji</w:t>
      </w:r>
      <w:r w:rsidR="00577338" w:rsidRPr="00577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73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phantom</w:t>
      </w:r>
      <w:r w:rsidR="00577338" w:rsidRPr="00577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- 4 </w:t>
      </w:r>
      <w:r w:rsidR="005773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advanced</w:t>
      </w:r>
      <w:r w:rsidR="005773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="002529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577338" w:rsidRPr="00577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4ADF" w:rsidRPr="002A56E4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Орієнтовний обсяг коштів, необхідний для виконання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становить:   </w:t>
      </w:r>
      <w:r w:rsidR="002529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6104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69,710</w:t>
      </w:r>
      <w:r w:rsidR="002529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тис. грн.: в тому числі :</w:t>
      </w:r>
    </w:p>
    <w:p w:rsidR="00252935" w:rsidRDefault="00252935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 тис.грн. – створення системи централізованого відеоспостереження „Безпечн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громада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(придбання, встановлення засобів спостереження та ін.),</w:t>
      </w:r>
    </w:p>
    <w:p w:rsidR="00004ADF" w:rsidRDefault="00252935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50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тис. грн.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безпілотного літального апарату (дрон)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dji</w:t>
      </w:r>
      <w:r w:rsidRPr="00577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phantom</w:t>
      </w:r>
      <w:r w:rsidRPr="00577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- 4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advanced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».</w:t>
      </w:r>
    </w:p>
    <w:p w:rsidR="00610493" w:rsidRPr="00252935" w:rsidRDefault="00610493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19,710 тис. грн. – придбання паливо </w:t>
      </w:r>
      <w:r w:rsidR="00F9756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мастильних</w:t>
      </w:r>
      <w:r w:rsidR="00F9756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матеріалів для транспортного засобу.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252935" w:rsidRDefault="00252935" w:rsidP="00252935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необхідності фінансування додаткових заходів Програми  видатки можуть бути збільшені відповідно до потреб.</w:t>
      </w:r>
    </w:p>
    <w:p w:rsidR="00252935" w:rsidRPr="00252935" w:rsidRDefault="00252935" w:rsidP="00252935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2935" w:rsidRPr="002A56E4" w:rsidRDefault="00252935" w:rsidP="0025293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Pr="002A56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Система управління та контролю ходу виконання Програми</w:t>
      </w:r>
    </w:p>
    <w:p w:rsidR="00252935" w:rsidRPr="002A56E4" w:rsidRDefault="00252935" w:rsidP="00252935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Координація та контроль виконання заходів Програми здійснюється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Станіславською сільською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радою. Управління бюджетними коштами здійснює розпорядник коштів.</w:t>
      </w:r>
    </w:p>
    <w:p w:rsidR="00252935" w:rsidRDefault="00252935" w:rsidP="00252935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Учасники Програми –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Станіславськ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сільськ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представники правоохоронних органів, профільних підприємств, які здійснюють діяльність у сфері охорони безпеки, громадськ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мування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 охорони громадського порядку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звітують про виконання Програми та витрачання коштів на її фінансування не рідше одного разу на рік.</w:t>
      </w:r>
    </w:p>
    <w:p w:rsidR="00252935" w:rsidRPr="00252935" w:rsidRDefault="00252935" w:rsidP="00252935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2935" w:rsidRPr="00C31E87" w:rsidRDefault="00252935" w:rsidP="00252935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4ADF" w:rsidRDefault="00004ADF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Додаток </w:t>
      </w:r>
      <w:r w:rsidR="000D01C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0D01C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 Програми</w:t>
      </w:r>
    </w:p>
    <w:p w:rsidR="00E205A8" w:rsidRDefault="00E205A8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Pr="00E205A8" w:rsidRDefault="00252935" w:rsidP="002529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05A8">
        <w:rPr>
          <w:rFonts w:ascii="Times New Roman" w:hAnsi="Times New Roman" w:cs="Times New Roman"/>
          <w:sz w:val="28"/>
          <w:szCs w:val="28"/>
          <w:lang w:val="uk-UA"/>
        </w:rPr>
        <w:t>Обсяг видатків на виконання програми</w:t>
      </w:r>
    </w:p>
    <w:p w:rsidR="00252935" w:rsidRDefault="00252935" w:rsidP="002529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Фінансового забезпечення на 2020 рік виконавців власних повноважень Станіславської сільської ради у сферах забезпечення законності та правопорядку «БЕЗПЕЧНА ГРОМАДА»</w:t>
      </w:r>
    </w:p>
    <w:p w:rsidR="00E205A8" w:rsidRDefault="00E205A8" w:rsidP="002529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240"/>
        <w:gridCol w:w="2550"/>
        <w:gridCol w:w="2370"/>
      </w:tblGrid>
      <w:tr w:rsidR="00E205A8" w:rsidTr="00E205A8">
        <w:trPr>
          <w:trHeight w:val="1290"/>
        </w:trPr>
        <w:tc>
          <w:tcPr>
            <w:tcW w:w="615" w:type="dxa"/>
          </w:tcPr>
          <w:p w:rsidR="00E205A8" w:rsidRDefault="00E205A8" w:rsidP="002529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205A8" w:rsidRPr="00E205A8" w:rsidRDefault="00E205A8" w:rsidP="002529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40" w:type="dxa"/>
          </w:tcPr>
          <w:p w:rsidR="00E205A8" w:rsidRPr="00E205A8" w:rsidRDefault="00E205A8" w:rsidP="00E20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550" w:type="dxa"/>
          </w:tcPr>
          <w:p w:rsidR="00E205A8" w:rsidRDefault="00E205A8" w:rsidP="00E20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фінансуванні</w:t>
            </w:r>
          </w:p>
          <w:p w:rsidR="00E205A8" w:rsidRPr="00E205A8" w:rsidRDefault="00E205A8" w:rsidP="00E20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2370" w:type="dxa"/>
          </w:tcPr>
          <w:p w:rsidR="00E205A8" w:rsidRPr="00E205A8" w:rsidRDefault="00E205A8" w:rsidP="00E20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фінансування тис.грн</w:t>
            </w:r>
            <w:r w:rsidR="00252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2020 році</w:t>
            </w:r>
          </w:p>
        </w:tc>
      </w:tr>
      <w:tr w:rsidR="00E205A8" w:rsidTr="00E205A8">
        <w:trPr>
          <w:trHeight w:val="2010"/>
        </w:trPr>
        <w:tc>
          <w:tcPr>
            <w:tcW w:w="615" w:type="dxa"/>
          </w:tcPr>
          <w:p w:rsidR="00E205A8" w:rsidRPr="00E205A8" w:rsidRDefault="00E205A8" w:rsidP="002529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40" w:type="dxa"/>
          </w:tcPr>
          <w:p w:rsidR="00E205A8" w:rsidRPr="00E205A8" w:rsidRDefault="00E205A8" w:rsidP="000D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камер відео спостереження, відповідне оснащення та оплата послуг за встановлення</w:t>
            </w:r>
            <w:r w:rsidR="000D0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0" w:type="dxa"/>
          </w:tcPr>
          <w:p w:rsidR="00E205A8" w:rsidRPr="00E205A8" w:rsidRDefault="00E205A8" w:rsidP="00E20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  <w:r w:rsidR="000D0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370" w:type="dxa"/>
          </w:tcPr>
          <w:p w:rsidR="00E205A8" w:rsidRDefault="00E205A8" w:rsidP="00252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01C6" w:rsidTr="00E205A8">
        <w:trPr>
          <w:trHeight w:val="2400"/>
        </w:trPr>
        <w:tc>
          <w:tcPr>
            <w:tcW w:w="615" w:type="dxa"/>
          </w:tcPr>
          <w:p w:rsidR="000D01C6" w:rsidRPr="00E205A8" w:rsidRDefault="000D01C6" w:rsidP="00CF38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40" w:type="dxa"/>
          </w:tcPr>
          <w:p w:rsidR="000D01C6" w:rsidRPr="00E205A8" w:rsidRDefault="000D01C6" w:rsidP="000D01C6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E205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Придбання безпілотного літального апарату (дрон)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dji</w:t>
            </w:r>
            <w:r w:rsidRPr="00E205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phantom</w:t>
            </w:r>
            <w:r w:rsidRPr="00E205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- 4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advanced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».</w:t>
            </w:r>
          </w:p>
          <w:p w:rsidR="000D01C6" w:rsidRPr="00E205A8" w:rsidRDefault="000D01C6" w:rsidP="00CF38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0D01C6" w:rsidRPr="00E205A8" w:rsidRDefault="000D01C6" w:rsidP="00CF3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50,000</w:t>
            </w:r>
          </w:p>
        </w:tc>
        <w:tc>
          <w:tcPr>
            <w:tcW w:w="2370" w:type="dxa"/>
          </w:tcPr>
          <w:p w:rsidR="000D01C6" w:rsidRDefault="000D01C6" w:rsidP="00CF38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01C6" w:rsidTr="00E205A8">
        <w:trPr>
          <w:trHeight w:val="2400"/>
        </w:trPr>
        <w:tc>
          <w:tcPr>
            <w:tcW w:w="615" w:type="dxa"/>
          </w:tcPr>
          <w:p w:rsidR="000D01C6" w:rsidRDefault="000D01C6" w:rsidP="00CF38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40" w:type="dxa"/>
          </w:tcPr>
          <w:p w:rsidR="000D01C6" w:rsidRPr="00E205A8" w:rsidRDefault="000D01C6" w:rsidP="000D01C6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Придбання паливо-мастильних матеріалів для транспортного засобу.</w:t>
            </w:r>
          </w:p>
        </w:tc>
        <w:tc>
          <w:tcPr>
            <w:tcW w:w="2550" w:type="dxa"/>
          </w:tcPr>
          <w:p w:rsidR="000D01C6" w:rsidRDefault="000D01C6" w:rsidP="00CF3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19,710</w:t>
            </w:r>
          </w:p>
        </w:tc>
        <w:tc>
          <w:tcPr>
            <w:tcW w:w="2370" w:type="dxa"/>
          </w:tcPr>
          <w:p w:rsidR="000D01C6" w:rsidRDefault="002525C0" w:rsidP="00CF38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10,0</w:t>
            </w:r>
          </w:p>
        </w:tc>
      </w:tr>
      <w:tr w:rsidR="000D01C6" w:rsidTr="00E205A8">
        <w:trPr>
          <w:trHeight w:val="645"/>
        </w:trPr>
        <w:tc>
          <w:tcPr>
            <w:tcW w:w="615" w:type="dxa"/>
          </w:tcPr>
          <w:p w:rsidR="000D01C6" w:rsidRDefault="000D01C6" w:rsidP="00252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0D01C6" w:rsidRDefault="000D01C6" w:rsidP="00252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0" w:type="dxa"/>
          </w:tcPr>
          <w:p w:rsidR="000D01C6" w:rsidRPr="00E205A8" w:rsidRDefault="000D01C6" w:rsidP="000D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169,710</w:t>
            </w:r>
          </w:p>
        </w:tc>
        <w:tc>
          <w:tcPr>
            <w:tcW w:w="2370" w:type="dxa"/>
          </w:tcPr>
          <w:p w:rsidR="000D01C6" w:rsidRDefault="002525C0" w:rsidP="00252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10,0</w:t>
            </w:r>
          </w:p>
        </w:tc>
      </w:tr>
    </w:tbl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5A8" w:rsidRDefault="00E205A8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5A8" w:rsidRDefault="00E205A8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E205A8" w:rsidSect="004828A7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27" w:rsidRDefault="00407827" w:rsidP="00004ADF">
      <w:r>
        <w:separator/>
      </w:r>
    </w:p>
  </w:endnote>
  <w:endnote w:type="continuationSeparator" w:id="0">
    <w:p w:rsidR="00407827" w:rsidRDefault="00407827" w:rsidP="0000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27" w:rsidRDefault="00407827" w:rsidP="00004ADF">
      <w:r>
        <w:separator/>
      </w:r>
    </w:p>
  </w:footnote>
  <w:footnote w:type="continuationSeparator" w:id="0">
    <w:p w:rsidR="00407827" w:rsidRDefault="00407827" w:rsidP="0000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3713"/>
      <w:docPartObj>
        <w:docPartGallery w:val="Page Numbers (Top of Page)"/>
        <w:docPartUnique/>
      </w:docPartObj>
    </w:sdtPr>
    <w:sdtEndPr/>
    <w:sdtContent>
      <w:p w:rsidR="00E205A8" w:rsidRDefault="004078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5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05A8" w:rsidRDefault="00E205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617E"/>
    <w:multiLevelType w:val="multilevel"/>
    <w:tmpl w:val="4F2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37B1A"/>
    <w:multiLevelType w:val="multilevel"/>
    <w:tmpl w:val="821A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D2BC2"/>
    <w:multiLevelType w:val="multilevel"/>
    <w:tmpl w:val="B7FC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37"/>
    <w:rsid w:val="00004ADF"/>
    <w:rsid w:val="000D01C6"/>
    <w:rsid w:val="001C0DDF"/>
    <w:rsid w:val="001F7A42"/>
    <w:rsid w:val="002525C0"/>
    <w:rsid w:val="00252935"/>
    <w:rsid w:val="00386A80"/>
    <w:rsid w:val="00407827"/>
    <w:rsid w:val="004828A7"/>
    <w:rsid w:val="00520A57"/>
    <w:rsid w:val="00577338"/>
    <w:rsid w:val="00610493"/>
    <w:rsid w:val="00685105"/>
    <w:rsid w:val="006C7348"/>
    <w:rsid w:val="00732937"/>
    <w:rsid w:val="00747514"/>
    <w:rsid w:val="007E2FE3"/>
    <w:rsid w:val="009F6396"/>
    <w:rsid w:val="00A447FE"/>
    <w:rsid w:val="00BA319A"/>
    <w:rsid w:val="00BA4CA9"/>
    <w:rsid w:val="00CD6245"/>
    <w:rsid w:val="00DF331E"/>
    <w:rsid w:val="00E205A8"/>
    <w:rsid w:val="00E40CD1"/>
    <w:rsid w:val="00EC2DF8"/>
    <w:rsid w:val="00F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F137D-1516-4E74-B872-4890631E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ADF"/>
  </w:style>
  <w:style w:type="paragraph" w:styleId="a5">
    <w:name w:val="footer"/>
    <w:basedOn w:val="a"/>
    <w:link w:val="a6"/>
    <w:uiPriority w:val="99"/>
    <w:semiHidden/>
    <w:unhideWhenUsed/>
    <w:rsid w:val="00004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0D38-6B9C-4ACC-A914-6A8EDF8D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Завещана Ольга</cp:lastModifiedBy>
  <cp:revision>7</cp:revision>
  <cp:lastPrinted>2019-10-18T05:59:00Z</cp:lastPrinted>
  <dcterms:created xsi:type="dcterms:W3CDTF">2019-10-09T06:28:00Z</dcterms:created>
  <dcterms:modified xsi:type="dcterms:W3CDTF">2019-12-25T21:47:00Z</dcterms:modified>
</cp:coreProperties>
</file>