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E" w:rsidRPr="00F646CE" w:rsidRDefault="00F646CE" w:rsidP="00F646CE">
      <w:pPr>
        <w:widowControl w:val="0"/>
        <w:shd w:val="clear" w:color="auto" w:fill="FFFFFF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46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</w:t>
      </w:r>
    </w:p>
    <w:p w:rsidR="00F646CE" w:rsidRPr="00F646CE" w:rsidRDefault="00F646CE" w:rsidP="00F6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 xml:space="preserve">      ЗАТВЕРДЖЕНО</w:t>
      </w:r>
    </w:p>
    <w:p w:rsidR="00F646CE" w:rsidRPr="00F646CE" w:rsidRDefault="00F646CE" w:rsidP="00F646CE">
      <w:pPr>
        <w:spacing w:after="0" w:line="240" w:lineRule="auto"/>
        <w:ind w:left="5423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Рішення Станіславської сільської ради</w:t>
      </w:r>
    </w:p>
    <w:p w:rsidR="00F646CE" w:rsidRPr="00F646CE" w:rsidRDefault="00F646CE" w:rsidP="00F646CE">
      <w:pPr>
        <w:spacing w:after="0" w:line="240" w:lineRule="auto"/>
        <w:ind w:left="5423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 w:eastAsia="ru-RU"/>
        </w:rPr>
        <w:t>__________</w:t>
      </w: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№ </w:t>
      </w:r>
      <w:r w:rsidRPr="00F646C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 w:eastAsia="ru-RU"/>
        </w:rPr>
        <w:t>_____</w:t>
      </w:r>
    </w:p>
    <w:p w:rsidR="00F646CE" w:rsidRPr="00F646CE" w:rsidRDefault="00F646CE" w:rsidP="00F646C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3F80" w:rsidRDefault="00B93F80" w:rsidP="005B5F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93B" w:rsidRPr="008A493B" w:rsidRDefault="008A493B" w:rsidP="008A493B">
      <w:pPr>
        <w:spacing w:after="0" w:line="48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93F80" w:rsidRPr="008A493B" w:rsidRDefault="00B93F80" w:rsidP="005B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A1" w:rsidRPr="00E7119B" w:rsidRDefault="000751A1" w:rsidP="005B5F9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7119B">
        <w:rPr>
          <w:rFonts w:ascii="Times New Roman" w:hAnsi="Times New Roman" w:cs="Times New Roman"/>
          <w:b/>
          <w:sz w:val="40"/>
          <w:szCs w:val="40"/>
          <w:lang w:val="uk-UA"/>
        </w:rPr>
        <w:t>Програма</w:t>
      </w:r>
    </w:p>
    <w:p w:rsidR="00C471C8" w:rsidRPr="00E7119B" w:rsidRDefault="00C471C8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7119B">
        <w:rPr>
          <w:rFonts w:ascii="Times New Roman" w:hAnsi="Times New Roman" w:cs="Times New Roman"/>
          <w:sz w:val="40"/>
          <w:szCs w:val="40"/>
          <w:lang w:val="uk-UA"/>
        </w:rPr>
        <w:t>«</w:t>
      </w:r>
      <w:r w:rsidR="00750E06" w:rsidRPr="00E7119B">
        <w:rPr>
          <w:rFonts w:ascii="Times New Roman" w:hAnsi="Times New Roman" w:cs="Times New Roman"/>
          <w:sz w:val="40"/>
          <w:szCs w:val="40"/>
          <w:lang w:val="uk-UA"/>
        </w:rPr>
        <w:t>Електронна охорона здоров</w:t>
      </w:r>
      <w:r w:rsidR="00750E06" w:rsidRPr="00E7119B">
        <w:rPr>
          <w:rFonts w:ascii="Times New Roman" w:hAnsi="Times New Roman" w:cs="Times New Roman"/>
          <w:sz w:val="40"/>
          <w:szCs w:val="40"/>
        </w:rPr>
        <w:t>’</w:t>
      </w:r>
      <w:r w:rsidR="005B5F9C" w:rsidRPr="00E7119B">
        <w:rPr>
          <w:rFonts w:ascii="Times New Roman" w:hAnsi="Times New Roman" w:cs="Times New Roman"/>
          <w:sz w:val="40"/>
          <w:szCs w:val="40"/>
          <w:lang w:val="uk-UA"/>
        </w:rPr>
        <w:t>я»</w:t>
      </w:r>
    </w:p>
    <w:p w:rsidR="005B5F9C" w:rsidRPr="00E7119B" w:rsidRDefault="00CB1383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7119B">
        <w:rPr>
          <w:rFonts w:ascii="Times New Roman" w:hAnsi="Times New Roman" w:cs="Times New Roman"/>
          <w:sz w:val="40"/>
          <w:szCs w:val="40"/>
          <w:lang w:val="uk-UA"/>
        </w:rPr>
        <w:t xml:space="preserve">Станіславської  </w:t>
      </w:r>
      <w:r w:rsidR="006E66BE">
        <w:rPr>
          <w:rFonts w:ascii="Times New Roman" w:hAnsi="Times New Roman" w:cs="Times New Roman"/>
          <w:sz w:val="40"/>
          <w:szCs w:val="40"/>
          <w:lang w:val="uk-UA"/>
        </w:rPr>
        <w:t xml:space="preserve"> сільської ради на 2021 </w:t>
      </w:r>
      <w:r w:rsidR="005B5F9C" w:rsidRPr="00E7119B">
        <w:rPr>
          <w:rFonts w:ascii="Times New Roman" w:hAnsi="Times New Roman" w:cs="Times New Roman"/>
          <w:sz w:val="40"/>
          <w:szCs w:val="40"/>
          <w:lang w:val="uk-UA"/>
        </w:rPr>
        <w:t>р</w:t>
      </w:r>
      <w:r w:rsidR="00F646CE">
        <w:rPr>
          <w:rFonts w:ascii="Times New Roman" w:hAnsi="Times New Roman" w:cs="Times New Roman"/>
          <w:sz w:val="40"/>
          <w:szCs w:val="40"/>
          <w:lang w:val="uk-UA"/>
        </w:rPr>
        <w:t>ік</w:t>
      </w:r>
    </w:p>
    <w:p w:rsidR="005B5F9C" w:rsidRDefault="005B5F9C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646CE" w:rsidRPr="00E7119B" w:rsidRDefault="00F646CE" w:rsidP="005B5F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50E06" w:rsidRPr="000751A1" w:rsidRDefault="005B5F9C" w:rsidP="005B5F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 І С Т</w:t>
      </w:r>
    </w:p>
    <w:p w:rsidR="005B5F9C" w:rsidRPr="000751A1" w:rsidRDefault="00161FDC" w:rsidP="00B93F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9318C3" w:rsidRPr="000751A1" w:rsidRDefault="005B5F9C" w:rsidP="00B93F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15441" w:rsidRPr="000751A1">
        <w:rPr>
          <w:rFonts w:ascii="Times New Roman" w:hAnsi="Times New Roman" w:cs="Times New Roman"/>
          <w:sz w:val="28"/>
          <w:szCs w:val="28"/>
          <w:lang w:val="uk-UA"/>
        </w:rPr>
        <w:t>Загальна частина</w:t>
      </w:r>
      <w:r w:rsidR="00B93F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CB138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93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18C3" w:rsidRPr="00B93F80" w:rsidRDefault="009318C3" w:rsidP="00B93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Мета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</w:t>
      </w:r>
      <w:proofErr w:type="spellEnd"/>
      <w:r w:rsidR="00B93F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</w:t>
      </w:r>
      <w:r w:rsidR="00F64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</w:t>
      </w:r>
    </w:p>
    <w:p w:rsidR="009318C3" w:rsidRPr="00B93F80" w:rsidRDefault="009318C3" w:rsidP="00B93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Основні</w:t>
      </w:r>
      <w:proofErr w:type="spellEnd"/>
      <w:r w:rsidR="00CB1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заходи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</w:t>
      </w:r>
      <w:proofErr w:type="spellEnd"/>
      <w:r w:rsidR="00B93F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F64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</w:t>
      </w:r>
    </w:p>
    <w:p w:rsidR="009318C3" w:rsidRPr="00B93F80" w:rsidRDefault="009318C3" w:rsidP="00B93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Фінансове</w:t>
      </w:r>
      <w:proofErr w:type="spellEnd"/>
      <w:r w:rsidR="00CB1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="00CB1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</w:t>
      </w:r>
      <w:proofErr w:type="spellEnd"/>
      <w:r w:rsidR="00B93F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 w:rsidR="00F64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</w:t>
      </w:r>
      <w:r w:rsidR="00B93F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</w:p>
    <w:p w:rsidR="009318C3" w:rsidRPr="00B93F80" w:rsidRDefault="009318C3" w:rsidP="00B93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proofErr w:type="gram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Очікувані</w:t>
      </w:r>
      <w:proofErr w:type="spellEnd"/>
      <w:r w:rsidR="00CB1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</w:t>
      </w:r>
      <w:proofErr w:type="spellEnd"/>
      <w:proofErr w:type="gramEnd"/>
      <w:r w:rsidR="00CB1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="00CB1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</w:t>
      </w:r>
      <w:proofErr w:type="spellEnd"/>
      <w:r w:rsidR="00F64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</w:t>
      </w:r>
      <w:r w:rsidR="00B93F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</w:p>
    <w:p w:rsidR="009318C3" w:rsidRPr="00B93F80" w:rsidRDefault="009318C3" w:rsidP="00B93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Шляхи та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способи</w:t>
      </w:r>
      <w:proofErr w:type="spellEnd"/>
      <w:r w:rsidR="00CB1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впровадження</w:t>
      </w:r>
      <w:proofErr w:type="spellEnd"/>
      <w:r w:rsidR="00CB1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proofErr w:type="spellStart"/>
      <w:r w:rsidRPr="0007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</w:t>
      </w:r>
      <w:proofErr w:type="spellEnd"/>
      <w:r w:rsidR="00F64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</w:t>
      </w:r>
      <w:r w:rsidR="00B93F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</w:p>
    <w:p w:rsidR="00B93F80" w:rsidRDefault="009318C3" w:rsidP="00931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Організація управління та контролю за</w:t>
      </w:r>
      <w:r w:rsidR="00B93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9318C3" w:rsidRPr="000751A1" w:rsidRDefault="00CB1383" w:rsidP="00931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318C3"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ходом виконання програми</w:t>
      </w:r>
    </w:p>
    <w:p w:rsidR="009318C3" w:rsidRPr="000751A1" w:rsidRDefault="009318C3" w:rsidP="00931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Додаток №1</w:t>
      </w:r>
      <w:r w:rsidR="000674E9"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«Паспорт»</w:t>
      </w:r>
      <w:r w:rsidR="004E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F6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</w:p>
    <w:p w:rsidR="004E47B2" w:rsidRDefault="000674E9" w:rsidP="00931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Додаток №2 «Орієнтовні обсяги та джерела</w:t>
      </w:r>
      <w:r w:rsidR="00F6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:rsidR="000674E9" w:rsidRPr="000751A1" w:rsidRDefault="000674E9" w:rsidP="00931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Програми»</w:t>
      </w:r>
    </w:p>
    <w:p w:rsidR="000674E9" w:rsidRPr="000751A1" w:rsidRDefault="000674E9" w:rsidP="00931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Додаток №3 «Заходи програми»</w:t>
      </w:r>
      <w:r w:rsidR="004E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6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9318C3" w:rsidRPr="000751A1" w:rsidRDefault="009318C3" w:rsidP="00931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5F9C" w:rsidRPr="000751A1" w:rsidRDefault="005B5F9C" w:rsidP="009318C3">
      <w:pPr>
        <w:rPr>
          <w:rFonts w:ascii="Times New Roman" w:hAnsi="Times New Roman" w:cs="Times New Roman"/>
          <w:sz w:val="28"/>
          <w:szCs w:val="28"/>
        </w:rPr>
      </w:pPr>
    </w:p>
    <w:p w:rsidR="005B5F9C" w:rsidRPr="000751A1" w:rsidRDefault="005B5F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F9C" w:rsidRPr="000751A1" w:rsidRDefault="005B5F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F9C" w:rsidRDefault="005B5F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Default="00F646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Default="00F646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Default="00F646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Default="00F646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Default="00F646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Pr="000751A1" w:rsidRDefault="00F646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1A1" w:rsidRDefault="000751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5B5F9C" w:rsidRPr="00CB1383" w:rsidRDefault="005B5F9C" w:rsidP="005B5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13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Загальна</w:t>
      </w:r>
      <w:r w:rsidR="00265A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CB13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частина</w:t>
      </w:r>
    </w:p>
    <w:p w:rsidR="005B5F9C" w:rsidRPr="00CB1383" w:rsidRDefault="005B5F9C" w:rsidP="00F64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науково-технічного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прогресу, розвиток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технологій та програмних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продуктів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потребують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рішень в галузі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здоров'я, а саме: нових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методів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діагностики та профілактики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захворювань, новий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різновид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здоров'я.</w:t>
      </w:r>
    </w:p>
    <w:p w:rsidR="005B5F9C" w:rsidRPr="00265A21" w:rsidRDefault="005B5F9C" w:rsidP="00F64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Електронна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охорона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 – це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комбіноване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у за</w:t>
      </w:r>
      <w:r w:rsidR="00A15441"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кладах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441"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15441"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Станіславської  </w:t>
      </w:r>
      <w:r w:rsidR="00A15441"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441"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інформаційних та комунікаційних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технологій (далі - ІКТ), доступ до електронних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медичних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 для пацієнта і медичного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1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працівника.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медичних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тощо.</w:t>
      </w:r>
    </w:p>
    <w:p w:rsidR="005B5F9C" w:rsidRPr="00265A21" w:rsidRDefault="005B5F9C" w:rsidP="00F64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сьогодні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комп’ютери 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програмне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широко використовуються у закладах охорони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здоров’я, проте не всі з них мають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однаковий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інформатизації, зокрема у більшості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клінічна практика, профілактична робота відображаються на паперових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носіях і комп’ютери не є складовою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інформаційного потоку.</w:t>
      </w:r>
    </w:p>
    <w:p w:rsidR="005B5F9C" w:rsidRPr="00265A21" w:rsidRDefault="005B5F9C" w:rsidP="00F64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галузі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почалося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цільових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 ІКТ для підтримки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певних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робочих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процесів, а саме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реєстрів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диспансерних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хворих, 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амбулаторних</w:t>
      </w:r>
      <w:r w:rsid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пацієнті</w:t>
      </w:r>
      <w:r w:rsidR="00436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в,  </w:t>
      </w:r>
      <w:r w:rsidR="00C37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 єдиної  електронної   системи  обміну  медичною  інформацією.</w:t>
      </w:r>
    </w:p>
    <w:p w:rsidR="005B5F9C" w:rsidRPr="000751A1" w:rsidRDefault="00C37E09" w:rsidP="00F64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осторонь</w:t>
      </w:r>
      <w:proofErr w:type="spellEnd"/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B5F9C" w:rsidRPr="00161FDC">
        <w:rPr>
          <w:rFonts w:ascii="Times New Roman" w:eastAsia="Times New Roman" w:hAnsi="Times New Roman" w:cs="Times New Roman"/>
          <w:sz w:val="36"/>
          <w:szCs w:val="28"/>
          <w:lang w:eastAsia="ru-RU"/>
        </w:rPr>
        <w:t>цих</w:t>
      </w:r>
      <w:proofErr w:type="spellEnd"/>
      <w:r w:rsidRPr="00161FDC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15441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5441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5441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Станіславської </w:t>
      </w:r>
      <w:proofErr w:type="spellStart"/>
      <w:r w:rsidR="00A15441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15441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15441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7D2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93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(частково  впроваджено) </w:t>
      </w:r>
      <w:r w:rsidR="00C9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первинній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ланці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5B5F9C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F9C" w:rsidRPr="000751A1" w:rsidRDefault="005B5F9C" w:rsidP="005B5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Мета </w:t>
      </w:r>
      <w:proofErr w:type="spellStart"/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5B5F9C" w:rsidRPr="00C93B17" w:rsidRDefault="005B5F9C" w:rsidP="00F64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метою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суттєве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proofErr w:type="gram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77D2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едичних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4D77D2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4D77D2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Станіславської  громади</w:t>
      </w:r>
      <w:r w:rsidR="004D77D2"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 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ефективних, якісних і доступних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медичних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 за допомогою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безперервного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збору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інформації,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обміну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даними та спільної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взаємодії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міжлікувально</w:t>
      </w:r>
      <w:proofErr w:type="spellEnd"/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-профілактичними 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закладами 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області. </w:t>
      </w:r>
    </w:p>
    <w:p w:rsidR="005B5F9C" w:rsidRPr="00C93B17" w:rsidRDefault="005B5F9C" w:rsidP="005B5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Основні</w:t>
      </w:r>
      <w:r w:rsidR="00C93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</w:t>
      </w:r>
      <w:r w:rsidR="00C93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93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 заходи </w:t>
      </w:r>
      <w:r w:rsidR="00C93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93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Програми</w:t>
      </w:r>
    </w:p>
    <w:p w:rsidR="005B5F9C" w:rsidRPr="00C93B17" w:rsidRDefault="005B5F9C" w:rsidP="005B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завданнями</w:t>
      </w:r>
      <w:r w:rsid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є:</w:t>
      </w:r>
    </w:p>
    <w:p w:rsidR="005B5F9C" w:rsidRPr="000751A1" w:rsidRDefault="00161FDC" w:rsidP="000751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апровадження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комбіновано</w:t>
      </w:r>
      <w:r w:rsidR="004D77D2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 </w:t>
      </w:r>
      <w:r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ІКТ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Станіславській  амбулаторії  ЗПСМ  Станіславської </w:t>
      </w:r>
      <w:r w:rsid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5F9C" w:rsidRPr="000751A1" w:rsidRDefault="006E66BE" w:rsidP="000751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2021 рік</w:t>
      </w:r>
      <w:r w:rsidR="004D77D2"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забезпечення  персоніфікованою базою </w:t>
      </w:r>
      <w:r w:rsidR="005B5F9C"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пацієнтів, електронною реєстратурою, електронною обліково-звітною документацією, 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F9C"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</w:t>
      </w:r>
      <w:r w:rsid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тання електронних рецептів тощо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51A1" w:rsidRPr="000751A1" w:rsidRDefault="000751A1" w:rsidP="00075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</w:p>
    <w:p w:rsidR="005B5F9C" w:rsidRPr="000751A1" w:rsidRDefault="005B5F9C" w:rsidP="00161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заходи з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6E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6E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</w:t>
      </w:r>
      <w:proofErr w:type="spellEnd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9C" w:rsidRPr="000751A1" w:rsidRDefault="005B5F9C" w:rsidP="005B5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Фінансове</w:t>
      </w:r>
      <w:proofErr w:type="spellEnd"/>
      <w:r w:rsidR="000F47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161F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5B5F9C" w:rsidRPr="00161FDC" w:rsidRDefault="004D77D2" w:rsidP="00F64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Фінансове 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Програми здійснюється за рахунок місцевого бюджету, інших джерел не заборонених законодавством.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для виконання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 і заходів з реалізації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залучатися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міжнародні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інформаційної,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технічної та фінансової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B5F9C" w:rsidRP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допомоги.</w:t>
      </w:r>
    </w:p>
    <w:p w:rsidR="005B5F9C" w:rsidRPr="000751A1" w:rsidRDefault="005B5F9C" w:rsidP="00F64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Орієнтовні</w:t>
      </w:r>
      <w:proofErr w:type="spellEnd"/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proofErr w:type="gramEnd"/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</w:t>
      </w:r>
      <w:proofErr w:type="spellEnd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9C" w:rsidRPr="000751A1" w:rsidRDefault="005B5F9C" w:rsidP="005B5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="00161F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="00161F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="00161F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5B5F9C" w:rsidRPr="009C141F" w:rsidRDefault="005B5F9C" w:rsidP="00F64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D77D2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ограми</w:t>
      </w:r>
      <w:proofErr w:type="spellEnd"/>
      <w:r w:rsidR="004D77D2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4D77D2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161FDC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чних</w:t>
      </w:r>
      <w:proofErr w:type="spellEnd"/>
      <w:r w:rsidR="0016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r w:rsidR="00161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Станіславської </w:t>
      </w:r>
      <w:proofErr w:type="spellStart"/>
      <w:r w:rsidR="004D77D2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="004D77D2"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дозволить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суттєво</w:t>
      </w:r>
      <w:proofErr w:type="spellEnd"/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</w:t>
      </w:r>
      <w:proofErr w:type="spellEnd"/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медичної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рахунок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 на прийом до лікаря,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профілактичну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направленість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первинної ланки, забезпечити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скорочення часу для діагностики та лікування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хворих, зниження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захворюваності, зменшення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випадків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зловживань при розподілі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пільгових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медикаментів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та дорослих, оперативний контроль за вакцинацією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дітей, 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диспансеризацією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тощо.</w:t>
      </w:r>
    </w:p>
    <w:p w:rsidR="005B5F9C" w:rsidRPr="009C141F" w:rsidRDefault="005B5F9C" w:rsidP="005B5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4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Шляхи та способи</w:t>
      </w:r>
      <w:r w:rsidR="009C14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впровадження</w:t>
      </w:r>
      <w:r w:rsidR="009C14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Програми</w:t>
      </w:r>
    </w:p>
    <w:p w:rsidR="005B5F9C" w:rsidRPr="000751A1" w:rsidRDefault="005B5F9C" w:rsidP="00F64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запровадження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медичних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інформаційних та комунікаційних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огій  у закладах  охорони  здоров’я  Станіславської  сільської </w:t>
      </w:r>
      <w:r w:rsidR="00B55B7B"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B55B7B"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</w:t>
      </w:r>
      <w:r w:rsidR="00B55B7B"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обладнання  для  Станіславської  амбулаторії  ЗПСМ, ФАП  с. Ш</w:t>
      </w:r>
      <w:r w:rsidR="00F6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ирока 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Балка, </w:t>
      </w:r>
      <w:r w:rsidR="006E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ФАП с.</w:t>
      </w:r>
      <w:r w:rsidR="00F6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Олександрівка ,</w:t>
      </w:r>
      <w:r w:rsid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ФП  с. Софіївка</w:t>
      </w:r>
      <w:r w:rsidR="00B55B7B"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лікарів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автоматизованими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робочими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місцями (АРМ), створення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локальних мереж у закладах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підключенням до </w:t>
      </w:r>
      <w:proofErr w:type="spellStart"/>
      <w:r w:rsidRPr="000751A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АРМ,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технічного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на побудову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медичної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інформації, створення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реєстру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пацієнтів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рівні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55B7B"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села,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електронної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реєстратури,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 електронних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медичних карт 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пацієнта, електронних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рецептів, листків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непрацездатності,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</w:t>
      </w:r>
      <w:r w:rsidR="0060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1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заходи.</w:t>
      </w:r>
    </w:p>
    <w:p w:rsidR="00C367D8" w:rsidRPr="000751A1" w:rsidRDefault="00C367D8" w:rsidP="005B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Організація управління та контролю за ходом </w:t>
      </w:r>
      <w:r w:rsidR="00DE1CE4" w:rsidRPr="00075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виконання програми</w:t>
      </w:r>
    </w:p>
    <w:p w:rsidR="00DE1CE4" w:rsidRPr="000751A1" w:rsidRDefault="00DE1CE4" w:rsidP="000751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виконання програми покладається на виконком сільської ради.</w:t>
      </w:r>
    </w:p>
    <w:p w:rsidR="00DE1CE4" w:rsidRPr="000751A1" w:rsidRDefault="00605444" w:rsidP="000751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  Станіславської</w:t>
      </w:r>
      <w:r w:rsidR="00DE1CE4"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використовує виділені кошти виключно на виробничі цілі.</w:t>
      </w:r>
    </w:p>
    <w:p w:rsidR="00DE1CE4" w:rsidRPr="000751A1" w:rsidRDefault="00DE1CE4" w:rsidP="000751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ходом виконання програми покладається на голову виконкому, постійну депутатську комісію з питань</w:t>
      </w:r>
      <w:r w:rsidR="003A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планування  бюджету,  фінансів  та  обліку,  управління  комунальною  власністю,  соціально-економічного  розвитку  громади</w:t>
      </w: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5F9C" w:rsidRDefault="006774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0674E9" w:rsidRPr="00677477" w:rsidRDefault="00F646CE" w:rsidP="00F646C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="000674E9" w:rsidRPr="00677477">
        <w:rPr>
          <w:rFonts w:ascii="Times New Roman" w:hAnsi="Times New Roman" w:cs="Times New Roman"/>
          <w:sz w:val="20"/>
          <w:szCs w:val="20"/>
          <w:lang w:val="uk-UA"/>
        </w:rPr>
        <w:t>Додаток №1</w:t>
      </w:r>
    </w:p>
    <w:p w:rsidR="00677477" w:rsidRPr="00677477" w:rsidRDefault="003A7FCB" w:rsidP="003A7FC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до рішення</w:t>
      </w:r>
      <w:r w:rsidR="00677477" w:rsidRPr="0067747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677477" w:rsidRPr="00677477">
        <w:rPr>
          <w:rFonts w:ascii="Times New Roman" w:hAnsi="Times New Roman" w:cs="Times New Roman"/>
          <w:sz w:val="20"/>
          <w:szCs w:val="20"/>
          <w:lang w:val="uk-UA"/>
        </w:rPr>
        <w:t>сесії</w:t>
      </w:r>
    </w:p>
    <w:p w:rsidR="00677477" w:rsidRPr="00677477" w:rsidRDefault="003A7FCB" w:rsidP="00677477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Станіславської </w:t>
      </w:r>
      <w:r w:rsidR="00677477" w:rsidRPr="00677477">
        <w:rPr>
          <w:rFonts w:ascii="Times New Roman" w:hAnsi="Times New Roman" w:cs="Times New Roman"/>
          <w:sz w:val="20"/>
          <w:szCs w:val="20"/>
          <w:lang w:val="uk-UA"/>
        </w:rPr>
        <w:t xml:space="preserve"> сільської</w:t>
      </w:r>
    </w:p>
    <w:p w:rsidR="00677477" w:rsidRDefault="00677477" w:rsidP="00677477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677477">
        <w:rPr>
          <w:rFonts w:ascii="Times New Roman" w:hAnsi="Times New Roman" w:cs="Times New Roman"/>
          <w:sz w:val="20"/>
          <w:szCs w:val="20"/>
          <w:lang w:val="uk-UA"/>
        </w:rPr>
        <w:t xml:space="preserve"> ради восьмого скликання</w:t>
      </w:r>
    </w:p>
    <w:p w:rsidR="00677477" w:rsidRDefault="00F646CE" w:rsidP="00F646CE">
      <w:pPr>
        <w:spacing w:after="0"/>
        <w:ind w:left="708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677477" w:rsidRPr="00677477">
        <w:rPr>
          <w:rFonts w:ascii="Times New Roman" w:hAnsi="Times New Roman" w:cs="Times New Roman"/>
          <w:sz w:val="20"/>
          <w:szCs w:val="20"/>
          <w:lang w:val="uk-UA"/>
        </w:rPr>
        <w:t>від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3A7F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7477">
        <w:rPr>
          <w:rFonts w:ascii="Times New Roman" w:hAnsi="Times New Roman" w:cs="Times New Roman"/>
          <w:sz w:val="20"/>
          <w:szCs w:val="20"/>
          <w:lang w:val="uk-UA"/>
        </w:rPr>
        <w:t>р.</w:t>
      </w:r>
      <w:r w:rsidRPr="00F646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>№</w:t>
      </w:r>
    </w:p>
    <w:p w:rsidR="00070F4E" w:rsidRDefault="00070F4E" w:rsidP="00070F4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B55B7B" w:rsidRPr="000751A1" w:rsidRDefault="00B55B7B" w:rsidP="00070F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sz w:val="28"/>
          <w:szCs w:val="28"/>
          <w:lang w:val="uk-UA"/>
        </w:rPr>
        <w:t>ПАСПОРТ</w:t>
      </w:r>
    </w:p>
    <w:p w:rsidR="00B55B7B" w:rsidRPr="000751A1" w:rsidRDefault="00B55B7B" w:rsidP="00B55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sz w:val="28"/>
          <w:szCs w:val="28"/>
          <w:lang w:val="uk-UA"/>
        </w:rPr>
        <w:t>Програма: Прог</w:t>
      </w:r>
      <w:r w:rsidR="00887B84">
        <w:rPr>
          <w:rFonts w:ascii="Times New Roman" w:hAnsi="Times New Roman" w:cs="Times New Roman"/>
          <w:sz w:val="28"/>
          <w:szCs w:val="28"/>
          <w:lang w:val="uk-UA"/>
        </w:rPr>
        <w:t>рама « Електронна охорона  здоров’я »  Станіславської</w:t>
      </w:r>
      <w:r w:rsidR="006E66B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2021  рік.</w:t>
      </w:r>
    </w:p>
    <w:p w:rsidR="007647B6" w:rsidRPr="000751A1" w:rsidRDefault="007647B6" w:rsidP="00B55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</w:t>
      </w:r>
      <w:r w:rsidR="0088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1A1">
        <w:rPr>
          <w:rFonts w:ascii="Times New Roman" w:hAnsi="Times New Roman" w:cs="Times New Roman"/>
          <w:sz w:val="28"/>
          <w:szCs w:val="28"/>
          <w:lang w:val="uk-UA"/>
        </w:rPr>
        <w:t>замовник або координатор:</w:t>
      </w:r>
      <w:r w:rsidR="00887B84">
        <w:rPr>
          <w:rFonts w:ascii="Times New Roman" w:hAnsi="Times New Roman" w:cs="Times New Roman"/>
          <w:sz w:val="28"/>
          <w:szCs w:val="28"/>
          <w:lang w:val="uk-UA"/>
        </w:rPr>
        <w:t xml:space="preserve">  виконком   Станіславської  </w:t>
      </w:r>
      <w:r w:rsidRPr="000751A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7647B6" w:rsidRPr="000751A1" w:rsidRDefault="007647B6" w:rsidP="00B55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sz w:val="28"/>
          <w:szCs w:val="28"/>
          <w:lang w:val="uk-UA"/>
        </w:rPr>
        <w:t>Державні з</w:t>
      </w:r>
      <w:r w:rsidR="00EF5C9E">
        <w:rPr>
          <w:rFonts w:ascii="Times New Roman" w:hAnsi="Times New Roman" w:cs="Times New Roman"/>
          <w:sz w:val="28"/>
          <w:szCs w:val="28"/>
          <w:lang w:val="uk-UA"/>
        </w:rPr>
        <w:t>амовники – співвиконавці:  постійна  депутатська  комісія  з  питань  планування  бюджету,  фінансів  та  обліку,   управління  комунальною  власністю,   соціально-економічного  розвитку  громади.</w:t>
      </w:r>
    </w:p>
    <w:p w:rsidR="007647B6" w:rsidRPr="000751A1" w:rsidRDefault="007647B6" w:rsidP="00764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075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0751A1">
        <w:rPr>
          <w:rFonts w:ascii="Times New Roman" w:hAnsi="Times New Roman" w:cs="Times New Roman"/>
          <w:sz w:val="28"/>
          <w:szCs w:val="28"/>
          <w:lang w:val="uk-UA"/>
        </w:rPr>
        <w:t>суттєве підвищення якості надання медич</w:t>
      </w:r>
      <w:r w:rsidR="00EF5C9E">
        <w:rPr>
          <w:rFonts w:ascii="Times New Roman" w:hAnsi="Times New Roman" w:cs="Times New Roman"/>
          <w:sz w:val="28"/>
          <w:szCs w:val="28"/>
          <w:lang w:val="uk-UA"/>
        </w:rPr>
        <w:t xml:space="preserve">них послуг населенню </w:t>
      </w:r>
      <w:r w:rsidR="00887B84">
        <w:rPr>
          <w:rFonts w:ascii="Times New Roman" w:hAnsi="Times New Roman" w:cs="Times New Roman"/>
          <w:sz w:val="28"/>
          <w:szCs w:val="28"/>
          <w:lang w:val="uk-UA"/>
        </w:rPr>
        <w:t xml:space="preserve">  Станіславської  громади</w:t>
      </w:r>
      <w:r w:rsidRPr="000751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1A1">
        <w:rPr>
          <w:rFonts w:ascii="Times New Roman" w:hAnsi="Times New Roman" w:cs="Times New Roman"/>
          <w:sz w:val="28"/>
          <w:szCs w:val="28"/>
          <w:lang w:val="uk-UA"/>
        </w:rPr>
        <w:t>створення умов для ефективних, якісних і доступних медичних послуг за допомогою безперервного збору інформації,</w:t>
      </w:r>
      <w:r w:rsidR="0088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1A1">
        <w:rPr>
          <w:rFonts w:ascii="Times New Roman" w:hAnsi="Times New Roman" w:cs="Times New Roman"/>
          <w:sz w:val="28"/>
          <w:szCs w:val="28"/>
          <w:lang w:val="uk-UA"/>
        </w:rPr>
        <w:t xml:space="preserve"> обміну даними та спільної</w:t>
      </w:r>
      <w:r w:rsidR="0088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1A1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</w:t>
      </w:r>
      <w:r w:rsidR="0088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1A1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88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1A1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лікувально-профілактичними закладами області. </w:t>
      </w:r>
    </w:p>
    <w:p w:rsidR="007647B6" w:rsidRPr="000751A1" w:rsidRDefault="00C367D8" w:rsidP="00B55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sz w:val="28"/>
          <w:szCs w:val="28"/>
          <w:lang w:val="uk-UA"/>
        </w:rPr>
        <w:t>Початок: 20</w:t>
      </w:r>
      <w:r w:rsidR="006E66B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647B6" w:rsidRPr="000751A1">
        <w:rPr>
          <w:rFonts w:ascii="Times New Roman" w:hAnsi="Times New Roman" w:cs="Times New Roman"/>
          <w:sz w:val="28"/>
          <w:szCs w:val="28"/>
          <w:lang w:val="uk-UA"/>
        </w:rPr>
        <w:t>рік,</w:t>
      </w:r>
      <w:r w:rsidR="0088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7B6" w:rsidRPr="000751A1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закінчення: 202</w:t>
      </w:r>
      <w:r w:rsidR="006E66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47B6" w:rsidRPr="000751A1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7647B6" w:rsidRPr="000751A1" w:rsidRDefault="000674E9" w:rsidP="00B55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sz w:val="28"/>
          <w:szCs w:val="28"/>
          <w:lang w:val="uk-UA"/>
        </w:rPr>
        <w:t xml:space="preserve">Етапи виконання: </w:t>
      </w:r>
      <w:r w:rsidR="00F729A6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6E66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29A6">
        <w:rPr>
          <w:rFonts w:ascii="Times New Roman" w:hAnsi="Times New Roman" w:cs="Times New Roman"/>
          <w:sz w:val="28"/>
          <w:szCs w:val="28"/>
          <w:lang w:val="uk-UA"/>
        </w:rPr>
        <w:t xml:space="preserve">  рік.</w:t>
      </w:r>
    </w:p>
    <w:p w:rsidR="007647B6" w:rsidRPr="00887B84" w:rsidRDefault="00EF5C9E" w:rsidP="00887B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 обсяги   фінансування  </w:t>
      </w:r>
      <w:r w:rsidR="006E66B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1658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7B2" w:rsidRPr="00887B84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6E66BE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7647B6" w:rsidRPr="000751A1" w:rsidRDefault="007647B6" w:rsidP="00887B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виконанням: голова виконкому, </w:t>
      </w:r>
      <w:r w:rsidR="00EF5C9E">
        <w:rPr>
          <w:rFonts w:ascii="Times New Roman" w:hAnsi="Times New Roman" w:cs="Times New Roman"/>
          <w:sz w:val="28"/>
          <w:szCs w:val="28"/>
          <w:lang w:val="uk-UA"/>
        </w:rPr>
        <w:t>депутатська комісія з  питань  планування  бюджету,  фінансів  та  обліку,   управління  комунальною  власністю,   соціально-економічного  розвитку  громади.</w:t>
      </w:r>
    </w:p>
    <w:p w:rsidR="000674E9" w:rsidRPr="000751A1" w:rsidRDefault="000674E9" w:rsidP="00067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74E9" w:rsidRPr="000751A1" w:rsidRDefault="000674E9" w:rsidP="00067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74E9" w:rsidRPr="000751A1" w:rsidRDefault="000674E9" w:rsidP="00067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74E9" w:rsidRPr="000751A1" w:rsidRDefault="000674E9" w:rsidP="00067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74E9" w:rsidRDefault="000674E9" w:rsidP="007A7B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Default="00F646CE" w:rsidP="007A7B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Default="00F646CE" w:rsidP="007A7B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Default="00F646CE" w:rsidP="007A7B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Pr="000751A1" w:rsidRDefault="00F646CE" w:rsidP="007A7B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Pr="00F646CE" w:rsidRDefault="00F646CE" w:rsidP="00F646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46CE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</w:p>
    <w:p w:rsidR="00677477" w:rsidRPr="00677477" w:rsidRDefault="00677477" w:rsidP="00677477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 №2</w:t>
      </w:r>
    </w:p>
    <w:p w:rsidR="00677477" w:rsidRPr="00677477" w:rsidRDefault="00070F4E" w:rsidP="00070F4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до рішення      </w:t>
      </w:r>
      <w:r w:rsidR="00677477" w:rsidRPr="00677477">
        <w:rPr>
          <w:rFonts w:ascii="Times New Roman" w:hAnsi="Times New Roman" w:cs="Times New Roman"/>
          <w:sz w:val="20"/>
          <w:szCs w:val="20"/>
          <w:lang w:val="uk-UA"/>
        </w:rPr>
        <w:t xml:space="preserve"> сесії</w:t>
      </w:r>
    </w:p>
    <w:p w:rsidR="00677477" w:rsidRPr="00677477" w:rsidRDefault="00070F4E" w:rsidP="00677477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Станіславської   </w:t>
      </w:r>
      <w:r w:rsidR="00677477" w:rsidRPr="00677477">
        <w:rPr>
          <w:rFonts w:ascii="Times New Roman" w:hAnsi="Times New Roman" w:cs="Times New Roman"/>
          <w:sz w:val="20"/>
          <w:szCs w:val="20"/>
          <w:lang w:val="uk-UA"/>
        </w:rPr>
        <w:t xml:space="preserve"> сільської</w:t>
      </w:r>
    </w:p>
    <w:p w:rsidR="00677477" w:rsidRDefault="00677477" w:rsidP="00677477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677477">
        <w:rPr>
          <w:rFonts w:ascii="Times New Roman" w:hAnsi="Times New Roman" w:cs="Times New Roman"/>
          <w:sz w:val="20"/>
          <w:szCs w:val="20"/>
          <w:lang w:val="uk-UA"/>
        </w:rPr>
        <w:t xml:space="preserve"> ради восьмого скликання</w:t>
      </w:r>
    </w:p>
    <w:p w:rsidR="00677477" w:rsidRDefault="00070F4E" w:rsidP="00070F4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677477" w:rsidRPr="00677477">
        <w:rPr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r w:rsidR="00F646CE">
        <w:rPr>
          <w:rFonts w:ascii="Times New Roman" w:hAnsi="Times New Roman" w:cs="Times New Roman"/>
          <w:sz w:val="20"/>
          <w:szCs w:val="20"/>
          <w:lang w:val="uk-UA"/>
        </w:rPr>
        <w:t xml:space="preserve">                20____</w:t>
      </w:r>
      <w:r w:rsidR="00677477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677477" w:rsidRPr="00677477" w:rsidRDefault="00070F4E" w:rsidP="00070F4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</w:t>
      </w:r>
      <w:r w:rsidR="007A7BB2">
        <w:rPr>
          <w:rFonts w:ascii="Times New Roman" w:hAnsi="Times New Roman" w:cs="Times New Roman"/>
          <w:sz w:val="20"/>
          <w:szCs w:val="20"/>
          <w:lang w:val="uk-UA"/>
        </w:rPr>
        <w:t>№</w:t>
      </w:r>
    </w:p>
    <w:p w:rsidR="000674E9" w:rsidRDefault="000674E9" w:rsidP="0067747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74E9" w:rsidRPr="000751A1" w:rsidRDefault="000674E9" w:rsidP="000674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1A1">
        <w:rPr>
          <w:rFonts w:ascii="Times New Roman" w:hAnsi="Times New Roman" w:cs="Times New Roman"/>
          <w:b/>
          <w:sz w:val="28"/>
          <w:szCs w:val="28"/>
          <w:lang w:val="uk-UA"/>
        </w:rPr>
        <w:t>Орієнтовні</w:t>
      </w:r>
      <w:r w:rsidR="00070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75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обсяги</w:t>
      </w:r>
      <w:r w:rsidR="00070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75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070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75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джерела </w:t>
      </w:r>
      <w:r w:rsidR="00070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75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</w:t>
      </w:r>
      <w:r w:rsidR="00070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51A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0674E9" w:rsidRPr="000751A1" w:rsidRDefault="000674E9" w:rsidP="000674E9">
      <w:pPr>
        <w:pStyle w:val="a3"/>
        <w:ind w:left="10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70" w:type="dxa"/>
        <w:tblLook w:val="04A0" w:firstRow="1" w:lastRow="0" w:firstColumn="1" w:lastColumn="0" w:noHBand="0" w:noVBand="1"/>
      </w:tblPr>
      <w:tblGrid>
        <w:gridCol w:w="2015"/>
        <w:gridCol w:w="2236"/>
      </w:tblGrid>
      <w:tr w:rsidR="006E66BE" w:rsidRPr="000751A1" w:rsidTr="000674E9">
        <w:tc>
          <w:tcPr>
            <w:tcW w:w="2015" w:type="dxa"/>
          </w:tcPr>
          <w:p w:rsidR="006E66BE" w:rsidRPr="000751A1" w:rsidRDefault="006E66BE" w:rsidP="000674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236" w:type="dxa"/>
          </w:tcPr>
          <w:p w:rsidR="006E66BE" w:rsidRPr="000751A1" w:rsidRDefault="006E66BE" w:rsidP="006E6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E66BE" w:rsidRPr="000751A1" w:rsidTr="000674E9">
        <w:tc>
          <w:tcPr>
            <w:tcW w:w="2015" w:type="dxa"/>
          </w:tcPr>
          <w:p w:rsidR="006E66BE" w:rsidRPr="000751A1" w:rsidRDefault="006E66BE" w:rsidP="000674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Кошти районного бюджету (</w:t>
            </w:r>
            <w:proofErr w:type="spellStart"/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236" w:type="dxa"/>
          </w:tcPr>
          <w:p w:rsidR="006E66BE" w:rsidRPr="000751A1" w:rsidRDefault="006E66BE" w:rsidP="000674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0</w:t>
            </w:r>
          </w:p>
        </w:tc>
      </w:tr>
      <w:tr w:rsidR="006E66BE" w:rsidRPr="000751A1" w:rsidTr="000674E9">
        <w:tc>
          <w:tcPr>
            <w:tcW w:w="2015" w:type="dxa"/>
          </w:tcPr>
          <w:p w:rsidR="006E66BE" w:rsidRPr="000751A1" w:rsidRDefault="006E66BE" w:rsidP="000674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Кошти обласного бюджету (</w:t>
            </w:r>
            <w:proofErr w:type="spellStart"/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236" w:type="dxa"/>
          </w:tcPr>
          <w:p w:rsidR="006E66BE" w:rsidRPr="000751A1" w:rsidRDefault="006E66BE" w:rsidP="000674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0</w:t>
            </w:r>
          </w:p>
        </w:tc>
      </w:tr>
      <w:tr w:rsidR="006E66BE" w:rsidRPr="000751A1" w:rsidTr="000674E9">
        <w:tc>
          <w:tcPr>
            <w:tcW w:w="2015" w:type="dxa"/>
          </w:tcPr>
          <w:p w:rsidR="006E66BE" w:rsidRPr="000751A1" w:rsidRDefault="006E66BE" w:rsidP="000674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Кошти місцевого бюджету (</w:t>
            </w:r>
            <w:proofErr w:type="spellStart"/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236" w:type="dxa"/>
          </w:tcPr>
          <w:p w:rsidR="006E66BE" w:rsidRPr="000751A1" w:rsidRDefault="006E66BE" w:rsidP="006E6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15</w:t>
            </w:r>
            <w:r w:rsidR="00A165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  <w:tr w:rsidR="006E66BE" w:rsidRPr="000751A1" w:rsidTr="000674E9">
        <w:tc>
          <w:tcPr>
            <w:tcW w:w="2015" w:type="dxa"/>
          </w:tcPr>
          <w:p w:rsidR="006E66BE" w:rsidRPr="000751A1" w:rsidRDefault="006E66BE" w:rsidP="000674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2236" w:type="dxa"/>
          </w:tcPr>
          <w:p w:rsidR="006E66BE" w:rsidRPr="000751A1" w:rsidRDefault="006E66BE" w:rsidP="000674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66BE" w:rsidRPr="000751A1" w:rsidTr="000674E9">
        <w:tc>
          <w:tcPr>
            <w:tcW w:w="2015" w:type="dxa"/>
          </w:tcPr>
          <w:p w:rsidR="006E66BE" w:rsidRPr="000751A1" w:rsidRDefault="006E66BE" w:rsidP="000674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2236" w:type="dxa"/>
          </w:tcPr>
          <w:p w:rsidR="006E66BE" w:rsidRPr="000751A1" w:rsidRDefault="006E66BE" w:rsidP="00A1658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15</w:t>
            </w:r>
            <w:r w:rsidR="00A165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0674E9" w:rsidRPr="000751A1" w:rsidRDefault="000674E9" w:rsidP="000674E9">
      <w:pPr>
        <w:pStyle w:val="a3"/>
        <w:ind w:left="10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4E9" w:rsidRPr="000751A1" w:rsidRDefault="000674E9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Pr="000751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5A1" w:rsidRDefault="00AD55A1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6CE" w:rsidRDefault="00F646CE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6CE" w:rsidRPr="000751A1" w:rsidRDefault="00F646CE" w:rsidP="000674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6CE" w:rsidRDefault="007A7BB2" w:rsidP="00F646C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7BB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646CE" w:rsidRDefault="00F646CE" w:rsidP="003439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46CE" w:rsidRPr="00F646CE" w:rsidRDefault="0034397E" w:rsidP="00F646CE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4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7477">
        <w:rPr>
          <w:rFonts w:ascii="Times New Roman" w:hAnsi="Times New Roman" w:cs="Times New Roman"/>
          <w:sz w:val="20"/>
          <w:szCs w:val="20"/>
          <w:lang w:val="uk-UA"/>
        </w:rPr>
        <w:t>Додаток №3</w:t>
      </w:r>
    </w:p>
    <w:p w:rsidR="00AD55A1" w:rsidRPr="000751A1" w:rsidRDefault="001C20B1" w:rsidP="00F646CE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0751A1">
        <w:rPr>
          <w:b/>
          <w:sz w:val="28"/>
          <w:szCs w:val="28"/>
          <w:lang w:val="uk-UA"/>
        </w:rPr>
        <w:t>Заходи програми</w:t>
      </w:r>
    </w:p>
    <w:p w:rsidR="000751A1" w:rsidRPr="000751A1" w:rsidRDefault="00F646CE" w:rsidP="00F646CE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bookmarkStart w:id="0" w:name="_GoBack"/>
      <w:bookmarkEnd w:id="0"/>
      <w:r w:rsidR="006E66BE">
        <w:rPr>
          <w:b/>
          <w:sz w:val="28"/>
          <w:szCs w:val="28"/>
          <w:lang w:val="uk-UA"/>
        </w:rPr>
        <w:t>на 20</w:t>
      </w:r>
      <w:r w:rsidR="004355F3" w:rsidRPr="000751A1">
        <w:rPr>
          <w:b/>
          <w:sz w:val="28"/>
          <w:szCs w:val="28"/>
          <w:lang w:val="uk-UA"/>
        </w:rPr>
        <w:t>2</w:t>
      </w:r>
      <w:r w:rsidR="006E66BE">
        <w:rPr>
          <w:b/>
          <w:sz w:val="28"/>
          <w:szCs w:val="28"/>
          <w:lang w:val="uk-UA"/>
        </w:rPr>
        <w:t>1</w:t>
      </w:r>
      <w:r w:rsidR="004355F3" w:rsidRPr="000751A1">
        <w:rPr>
          <w:b/>
          <w:sz w:val="28"/>
          <w:szCs w:val="28"/>
          <w:lang w:val="uk-UA"/>
        </w:rPr>
        <w:t xml:space="preserve"> р</w:t>
      </w:r>
      <w:r w:rsidR="00A16581">
        <w:rPr>
          <w:b/>
          <w:sz w:val="28"/>
          <w:szCs w:val="28"/>
          <w:lang w:val="uk-UA"/>
        </w:rPr>
        <w:t>ік</w:t>
      </w:r>
    </w:p>
    <w:tbl>
      <w:tblPr>
        <w:tblStyle w:val="a4"/>
        <w:tblW w:w="9444" w:type="dxa"/>
        <w:tblInd w:w="-831" w:type="dxa"/>
        <w:tblLayout w:type="fixed"/>
        <w:tblLook w:val="04A0" w:firstRow="1" w:lastRow="0" w:firstColumn="1" w:lastColumn="0" w:noHBand="0" w:noVBand="1"/>
      </w:tblPr>
      <w:tblGrid>
        <w:gridCol w:w="605"/>
        <w:gridCol w:w="1185"/>
        <w:gridCol w:w="1417"/>
        <w:gridCol w:w="993"/>
        <w:gridCol w:w="850"/>
        <w:gridCol w:w="810"/>
        <w:gridCol w:w="810"/>
        <w:gridCol w:w="1215"/>
        <w:gridCol w:w="1559"/>
      </w:tblGrid>
      <w:tr w:rsidR="006E66BE" w:rsidRPr="00F646CE" w:rsidTr="00A16581">
        <w:trPr>
          <w:trHeight w:val="356"/>
        </w:trPr>
        <w:tc>
          <w:tcPr>
            <w:tcW w:w="605" w:type="dxa"/>
            <w:vMerge w:val="restart"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№з/п</w:t>
            </w:r>
          </w:p>
        </w:tc>
        <w:tc>
          <w:tcPr>
            <w:tcW w:w="1185" w:type="dxa"/>
            <w:vMerge w:val="restart"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завдання</w:t>
            </w:r>
          </w:p>
        </w:tc>
        <w:tc>
          <w:tcPr>
            <w:tcW w:w="1417" w:type="dxa"/>
            <w:vMerge w:val="restart"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993" w:type="dxa"/>
            <w:vMerge w:val="restart"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виконання</w:t>
            </w:r>
          </w:p>
        </w:tc>
        <w:tc>
          <w:tcPr>
            <w:tcW w:w="850" w:type="dxa"/>
            <w:vMerge w:val="restart"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3"/>
          </w:tcPr>
          <w:p w:rsidR="006E66BE" w:rsidRPr="004355F3" w:rsidRDefault="006E66BE" w:rsidP="001C20B1">
            <w:pPr>
              <w:pStyle w:val="a3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4355F3">
              <w:rPr>
                <w:b/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66BE" w:rsidRPr="00A16581" w:rsidRDefault="00A16581" w:rsidP="00A16581">
            <w:pPr>
              <w:rPr>
                <w:lang w:val="uk-UA"/>
              </w:rPr>
            </w:pPr>
            <w:r>
              <w:rPr>
                <w:lang w:val="uk-UA"/>
              </w:rPr>
              <w:t xml:space="preserve">Орієнтовані обсяги фінансування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E66BE" w:rsidTr="00A16581">
        <w:trPr>
          <w:trHeight w:val="435"/>
        </w:trPr>
        <w:tc>
          <w:tcPr>
            <w:tcW w:w="605" w:type="dxa"/>
            <w:vMerge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185" w:type="dxa"/>
            <w:vMerge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6E66BE" w:rsidRPr="004355F3" w:rsidRDefault="006E66BE" w:rsidP="001C20B1">
            <w:pPr>
              <w:pStyle w:val="a3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4355F3">
              <w:rPr>
                <w:b/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215" w:type="dxa"/>
            <w:vMerge w:val="restart"/>
          </w:tcPr>
          <w:p w:rsidR="006E66BE" w:rsidRPr="004355F3" w:rsidRDefault="006E66BE" w:rsidP="001C20B1">
            <w:pPr>
              <w:pStyle w:val="a3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4355F3">
              <w:rPr>
                <w:b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1559" w:type="dxa"/>
            <w:vMerge/>
            <w:shd w:val="clear" w:color="auto" w:fill="auto"/>
          </w:tcPr>
          <w:p w:rsidR="006E66BE" w:rsidRDefault="006E66BE"/>
        </w:tc>
      </w:tr>
      <w:tr w:rsidR="006E66BE" w:rsidTr="00A16581">
        <w:trPr>
          <w:trHeight w:val="540"/>
        </w:trPr>
        <w:tc>
          <w:tcPr>
            <w:tcW w:w="605" w:type="dxa"/>
            <w:vMerge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185" w:type="dxa"/>
            <w:vMerge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6E66BE" w:rsidRDefault="006E66BE" w:rsidP="001C20B1">
            <w:pPr>
              <w:pStyle w:val="a3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810" w:type="dxa"/>
          </w:tcPr>
          <w:p w:rsidR="006E66BE" w:rsidRPr="004355F3" w:rsidRDefault="006E66BE" w:rsidP="001C20B1">
            <w:pPr>
              <w:pStyle w:val="a3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4355F3">
              <w:rPr>
                <w:b/>
                <w:sz w:val="16"/>
                <w:szCs w:val="16"/>
                <w:lang w:val="uk-UA"/>
              </w:rPr>
              <w:t>Місцевий</w:t>
            </w:r>
            <w:r>
              <w:rPr>
                <w:b/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810" w:type="dxa"/>
          </w:tcPr>
          <w:p w:rsidR="006E66BE" w:rsidRPr="004355F3" w:rsidRDefault="006E66BE" w:rsidP="001C20B1">
            <w:pPr>
              <w:pStyle w:val="a3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 дер бюджет</w:t>
            </w:r>
          </w:p>
        </w:tc>
        <w:tc>
          <w:tcPr>
            <w:tcW w:w="1215" w:type="dxa"/>
            <w:vMerge/>
          </w:tcPr>
          <w:p w:rsidR="006E66BE" w:rsidRPr="004355F3" w:rsidRDefault="006E66BE" w:rsidP="001C20B1">
            <w:pPr>
              <w:pStyle w:val="a3"/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6E66BE" w:rsidRDefault="006E66BE" w:rsidP="00A16581">
            <w:pPr>
              <w:pStyle w:val="a3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A16581">
              <w:rPr>
                <w:b/>
                <w:lang w:val="uk-UA"/>
              </w:rPr>
              <w:t>21</w:t>
            </w:r>
          </w:p>
        </w:tc>
      </w:tr>
      <w:tr w:rsidR="006E66BE" w:rsidRPr="00146B98" w:rsidTr="0034397E">
        <w:trPr>
          <w:trHeight w:val="3060"/>
        </w:trPr>
        <w:tc>
          <w:tcPr>
            <w:tcW w:w="60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  <w:r w:rsidRPr="00146B98">
              <w:rPr>
                <w:lang w:val="uk-UA"/>
              </w:rPr>
              <w:t>1.</w:t>
            </w:r>
          </w:p>
        </w:tc>
        <w:tc>
          <w:tcPr>
            <w:tcW w:w="1185" w:type="dxa"/>
          </w:tcPr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Створити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структуровану</w:t>
            </w:r>
            <w:proofErr w:type="spellEnd"/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кабельну</w:t>
            </w:r>
            <w:proofErr w:type="spellEnd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систему в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закладах  охорони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 здоров’я  Станіславської  сільської ради</w:t>
            </w:r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та </w:t>
            </w:r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облаштувати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робочі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 </w:t>
            </w: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місця</w:t>
            </w:r>
            <w:proofErr w:type="spellEnd"/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персоналу для </w:t>
            </w: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роботи</w:t>
            </w:r>
            <w:proofErr w:type="spellEnd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 </w:t>
            </w:r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персоніфікованими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 </w:t>
            </w: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даними</w:t>
            </w:r>
            <w:proofErr w:type="spellEnd"/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пацієнтів</w:t>
            </w:r>
            <w:proofErr w:type="spellEnd"/>
          </w:p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6E66BE" w:rsidRPr="00CB1383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</w:pPr>
            <w:r w:rsidRPr="00CB1383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1.1 Закупівля</w:t>
            </w: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r w:rsidRPr="00CB1383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обладнання</w:t>
            </w: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r w:rsidRPr="00CB1383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для</w:t>
            </w:r>
          </w:p>
          <w:p w:rsidR="006E66BE" w:rsidRPr="00CB1383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</w:pPr>
            <w:r w:rsidRPr="00CB1383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мережі (</w:t>
            </w:r>
            <w:proofErr w:type="spellStart"/>
            <w:r w:rsidRPr="00CB1383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патчкорди</w:t>
            </w:r>
            <w:proofErr w:type="spellEnd"/>
            <w:r w:rsidRPr="00CB1383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), </w:t>
            </w:r>
          </w:p>
          <w:p w:rsidR="006E66BE" w:rsidRPr="00CB1383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комп’ютерної </w:t>
            </w:r>
            <w:r w:rsidRPr="00CB1383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техніки для </w:t>
            </w:r>
          </w:p>
          <w:p w:rsidR="006E66BE" w:rsidRPr="00CB1383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</w:pPr>
            <w:r w:rsidRPr="00CB1383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інформаційної</w:t>
            </w: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r w:rsidRPr="00CB1383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медичної</w:t>
            </w:r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системи</w:t>
            </w:r>
            <w:proofErr w:type="spellEnd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принтери</w:t>
            </w:r>
            <w:proofErr w:type="spellEnd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картриджі</w:t>
            </w:r>
            <w:proofErr w:type="spellEnd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джера</w:t>
            </w:r>
            <w:proofErr w:type="spellEnd"/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безперебійного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живлення</w:t>
            </w:r>
            <w:proofErr w:type="spellEnd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картрідери</w:t>
            </w:r>
            <w:proofErr w:type="spellEnd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меди</w:t>
            </w:r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чна</w:t>
            </w:r>
            <w:proofErr w:type="spellEnd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карта </w:t>
            </w:r>
          </w:p>
          <w:p w:rsidR="006E66BE" w:rsidRPr="00922571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пацієнта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9225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тощо</w:t>
            </w:r>
            <w:proofErr w:type="spellEnd"/>
          </w:p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Станіславська</w:t>
            </w:r>
            <w:r w:rsidRPr="00146B98">
              <w:rPr>
                <w:lang w:val="uk-UA"/>
              </w:rPr>
              <w:t xml:space="preserve"> сільська рада</w:t>
            </w:r>
          </w:p>
        </w:tc>
        <w:tc>
          <w:tcPr>
            <w:tcW w:w="850" w:type="dxa"/>
          </w:tcPr>
          <w:p w:rsidR="006E66BE" w:rsidRPr="00146B98" w:rsidRDefault="006E66BE" w:rsidP="00A16581">
            <w:pPr>
              <w:pStyle w:val="a3"/>
              <w:ind w:left="0"/>
              <w:jc w:val="center"/>
              <w:rPr>
                <w:lang w:val="uk-UA"/>
              </w:rPr>
            </w:pPr>
            <w:r w:rsidRPr="00146B98">
              <w:rPr>
                <w:lang w:val="uk-UA"/>
              </w:rPr>
              <w:t>Протягом 20</w:t>
            </w:r>
            <w:r w:rsidR="00A16581">
              <w:rPr>
                <w:lang w:val="uk-UA"/>
              </w:rPr>
              <w:t>21</w:t>
            </w:r>
          </w:p>
        </w:tc>
        <w:tc>
          <w:tcPr>
            <w:tcW w:w="810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0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6E66BE" w:rsidRPr="00146B98" w:rsidRDefault="00A16581" w:rsidP="001C20B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154,0</w:t>
            </w:r>
          </w:p>
        </w:tc>
      </w:tr>
      <w:tr w:rsidR="006E66BE" w:rsidRPr="00146B98" w:rsidTr="00A16581">
        <w:trPr>
          <w:trHeight w:val="540"/>
        </w:trPr>
        <w:tc>
          <w:tcPr>
            <w:tcW w:w="60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185" w:type="dxa"/>
          </w:tcPr>
          <w:p w:rsidR="006E66BE" w:rsidRPr="00146B98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1.2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Закупівл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я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ліцензійного</w:t>
            </w:r>
            <w:proofErr w:type="spellEnd"/>
          </w:p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Программного</w:t>
            </w: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забезпечення</w:t>
            </w:r>
            <w:proofErr w:type="spellEnd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</w:t>
            </w:r>
          </w:p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Обліку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карток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пацієнтів</w:t>
            </w:r>
            <w:proofErr w:type="spellEnd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</w:t>
            </w:r>
          </w:p>
          <w:p w:rsidR="006E66BE" w:rsidRPr="00393BDE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Профілактичних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закладів</w:t>
            </w:r>
            <w:proofErr w:type="spellEnd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Станіславської сільської ради</w:t>
            </w:r>
          </w:p>
          <w:p w:rsidR="006E66BE" w:rsidRPr="00146B98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Станіславська  </w:t>
            </w:r>
            <w:r w:rsidRPr="00146B98">
              <w:rPr>
                <w:lang w:val="uk-UA"/>
              </w:rPr>
              <w:t>сільська рада</w:t>
            </w:r>
          </w:p>
        </w:tc>
        <w:tc>
          <w:tcPr>
            <w:tcW w:w="850" w:type="dxa"/>
          </w:tcPr>
          <w:p w:rsidR="006E66BE" w:rsidRPr="00146B98" w:rsidRDefault="006E66BE" w:rsidP="00A1658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</w:t>
            </w:r>
            <w:r w:rsidR="00A16581">
              <w:rPr>
                <w:lang w:val="uk-UA"/>
              </w:rPr>
              <w:t>21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810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810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</w:tr>
      <w:tr w:rsidR="006E66BE" w:rsidRPr="00146B98" w:rsidTr="00A16581">
        <w:trPr>
          <w:trHeight w:val="540"/>
        </w:trPr>
        <w:tc>
          <w:tcPr>
            <w:tcW w:w="60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185" w:type="dxa"/>
          </w:tcPr>
          <w:p w:rsidR="006E66BE" w:rsidRPr="00146B98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Отримання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особистого</w:t>
            </w:r>
            <w:proofErr w:type="spellEnd"/>
          </w:p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цифрового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підпису</w:t>
            </w:r>
            <w:proofErr w:type="spellEnd"/>
          </w:p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працівника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и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охорони 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здоровя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 Станіславської   сільської ради</w:t>
            </w:r>
          </w:p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для доступу до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персональних</w:t>
            </w:r>
            <w:proofErr w:type="spellEnd"/>
          </w:p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пацієнтів</w:t>
            </w:r>
            <w:proofErr w:type="spellEnd"/>
          </w:p>
          <w:p w:rsidR="006E66BE" w:rsidRPr="00146B98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6E66BE" w:rsidRPr="00146B98" w:rsidRDefault="006E66BE" w:rsidP="00EE482E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Станіславська </w:t>
            </w:r>
            <w:r w:rsidRPr="00146B98">
              <w:rPr>
                <w:lang w:val="uk-UA"/>
              </w:rPr>
              <w:t>сільська рада</w:t>
            </w:r>
          </w:p>
        </w:tc>
        <w:tc>
          <w:tcPr>
            <w:tcW w:w="850" w:type="dxa"/>
          </w:tcPr>
          <w:p w:rsidR="006E66BE" w:rsidRPr="00146B98" w:rsidRDefault="006E66BE" w:rsidP="00A1658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</w:t>
            </w:r>
            <w:r w:rsidR="00A16581">
              <w:rPr>
                <w:lang w:val="uk-UA"/>
              </w:rPr>
              <w:t>21</w:t>
            </w:r>
          </w:p>
        </w:tc>
        <w:tc>
          <w:tcPr>
            <w:tcW w:w="810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810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</w:tr>
      <w:tr w:rsidR="006E66BE" w:rsidRPr="00146B98" w:rsidTr="00A16581">
        <w:trPr>
          <w:trHeight w:val="540"/>
        </w:trPr>
        <w:tc>
          <w:tcPr>
            <w:tcW w:w="60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185" w:type="dxa"/>
          </w:tcPr>
          <w:p w:rsidR="006E66BE" w:rsidRPr="00146B98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1.4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Встановлення</w:t>
            </w:r>
            <w:proofErr w:type="spellEnd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та </w:t>
            </w:r>
          </w:p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Впровадження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ліцензованого</w:t>
            </w:r>
            <w:proofErr w:type="spellEnd"/>
          </w:p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Программного</w:t>
            </w: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забезпечення</w:t>
            </w:r>
            <w:proofErr w:type="spellEnd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</w:t>
            </w:r>
          </w:p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обліку</w:t>
            </w:r>
            <w:proofErr w:type="spellEnd"/>
          </w:p>
          <w:p w:rsidR="006E66BE" w:rsidRPr="004355F3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карток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пацієнтів</w:t>
            </w:r>
            <w:proofErr w:type="spellEnd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 </w:t>
            </w:r>
          </w:p>
          <w:p w:rsidR="006E66BE" w:rsidRPr="00EE482E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лікувально-</w:t>
            </w:r>
            <w:proofErr w:type="spellStart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профілактичних</w:t>
            </w:r>
            <w:proofErr w:type="spellEnd"/>
            <w:r w:rsidRPr="0043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закладах</w:t>
            </w: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 Станіславської сільської ради</w:t>
            </w:r>
          </w:p>
          <w:p w:rsidR="006E66BE" w:rsidRPr="00146B98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Станіславська </w:t>
            </w:r>
            <w:r w:rsidRPr="00146B98">
              <w:rPr>
                <w:lang w:val="uk-UA"/>
              </w:rPr>
              <w:t>сільська рада</w:t>
            </w:r>
          </w:p>
        </w:tc>
        <w:tc>
          <w:tcPr>
            <w:tcW w:w="850" w:type="dxa"/>
          </w:tcPr>
          <w:p w:rsidR="006E66BE" w:rsidRPr="00146B98" w:rsidRDefault="006E66BE" w:rsidP="00A16581">
            <w:pPr>
              <w:pStyle w:val="a3"/>
              <w:ind w:left="0"/>
              <w:jc w:val="center"/>
              <w:rPr>
                <w:lang w:val="uk-UA"/>
              </w:rPr>
            </w:pPr>
            <w:r w:rsidRPr="00146B98">
              <w:rPr>
                <w:lang w:val="uk-UA"/>
              </w:rPr>
              <w:t>Протягом 20</w:t>
            </w:r>
            <w:r w:rsidR="00A16581">
              <w:rPr>
                <w:lang w:val="uk-UA"/>
              </w:rPr>
              <w:t>21</w:t>
            </w:r>
          </w:p>
        </w:tc>
        <w:tc>
          <w:tcPr>
            <w:tcW w:w="810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810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</w:tr>
      <w:tr w:rsidR="006E66BE" w:rsidRPr="00146B98" w:rsidTr="00A16581">
        <w:trPr>
          <w:trHeight w:val="1530"/>
        </w:trPr>
        <w:tc>
          <w:tcPr>
            <w:tcW w:w="60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  <w:r w:rsidRPr="00146B98">
              <w:rPr>
                <w:lang w:val="uk-UA"/>
              </w:rPr>
              <w:t>2</w:t>
            </w:r>
          </w:p>
        </w:tc>
        <w:tc>
          <w:tcPr>
            <w:tcW w:w="1185" w:type="dxa"/>
          </w:tcPr>
          <w:p w:rsidR="006E66BE" w:rsidRPr="00146B98" w:rsidRDefault="006E66BE" w:rsidP="00146B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6B98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З</w:t>
            </w: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абезпечити</w:t>
            </w:r>
            <w:proofErr w:type="spellEnd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доступ </w:t>
            </w:r>
          </w:p>
          <w:p w:rsidR="006E66BE" w:rsidRPr="00146B98" w:rsidRDefault="006E66BE" w:rsidP="00146B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соціальнонезахищених</w:t>
            </w:r>
            <w:proofErr w:type="spellEnd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та </w:t>
            </w:r>
          </w:p>
          <w:p w:rsidR="006E66BE" w:rsidRPr="00146B98" w:rsidRDefault="006E66BE" w:rsidP="00146B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пільгових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верств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населення</w:t>
            </w:r>
            <w:proofErr w:type="spellEnd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</w:t>
            </w:r>
          </w:p>
          <w:p w:rsidR="006E66BE" w:rsidRPr="00146B98" w:rsidRDefault="006E66BE" w:rsidP="00146B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медичних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proofErr w:type="gram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послуг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 </w:t>
            </w:r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</w:t>
            </w:r>
            <w:proofErr w:type="gramEnd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закладах </w:t>
            </w:r>
          </w:p>
          <w:p w:rsidR="006E66BE" w:rsidRPr="00146B98" w:rsidRDefault="006E66BE" w:rsidP="00146B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охорони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здоров’я</w:t>
            </w:r>
            <w:proofErr w:type="spellEnd"/>
          </w:p>
          <w:p w:rsidR="006E66BE" w:rsidRPr="00146B98" w:rsidRDefault="006E66BE" w:rsidP="0092257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6E66BE" w:rsidRPr="00146B98" w:rsidRDefault="006E66BE" w:rsidP="00146B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2.1 </w:t>
            </w: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Закупівля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</w:t>
            </w: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інформаційних</w:t>
            </w:r>
            <w:proofErr w:type="spellEnd"/>
          </w:p>
          <w:p w:rsidR="006E66BE" w:rsidRPr="00146B98" w:rsidRDefault="006E66BE" w:rsidP="00146B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46B9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терміналів</w:t>
            </w:r>
            <w:proofErr w:type="spellEnd"/>
          </w:p>
          <w:p w:rsidR="006E66BE" w:rsidRPr="00146B98" w:rsidRDefault="006E66BE" w:rsidP="004355F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Станіславська </w:t>
            </w:r>
            <w:r w:rsidRPr="00146B98">
              <w:rPr>
                <w:lang w:val="uk-UA"/>
              </w:rPr>
              <w:t xml:space="preserve"> сільська рада</w:t>
            </w:r>
          </w:p>
        </w:tc>
        <w:tc>
          <w:tcPr>
            <w:tcW w:w="850" w:type="dxa"/>
          </w:tcPr>
          <w:p w:rsidR="006E66BE" w:rsidRPr="00146B98" w:rsidRDefault="006E66BE" w:rsidP="00A1658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A16581">
              <w:rPr>
                <w:lang w:val="uk-UA"/>
              </w:rPr>
              <w:t>2021</w:t>
            </w:r>
          </w:p>
        </w:tc>
        <w:tc>
          <w:tcPr>
            <w:tcW w:w="810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810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146B98">
              <w:rPr>
                <w:lang w:val="uk-UA"/>
              </w:rPr>
              <w:t>,00</w:t>
            </w:r>
          </w:p>
        </w:tc>
      </w:tr>
      <w:tr w:rsidR="006E66BE" w:rsidRPr="00146B98" w:rsidTr="00A16581">
        <w:trPr>
          <w:trHeight w:val="540"/>
        </w:trPr>
        <w:tc>
          <w:tcPr>
            <w:tcW w:w="60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185" w:type="dxa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  <w:r w:rsidRPr="00146B98">
              <w:rPr>
                <w:lang w:val="uk-UA"/>
              </w:rPr>
              <w:t>Всього</w:t>
            </w:r>
          </w:p>
        </w:tc>
        <w:tc>
          <w:tcPr>
            <w:tcW w:w="6095" w:type="dxa"/>
            <w:gridSpan w:val="6"/>
          </w:tcPr>
          <w:p w:rsidR="006E66BE" w:rsidRPr="00146B98" w:rsidRDefault="006E66BE" w:rsidP="001C20B1">
            <w:pPr>
              <w:pStyle w:val="a3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6E66BE" w:rsidRPr="00146B98" w:rsidRDefault="00A16581" w:rsidP="001C20B1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  <w:r w:rsidR="006E66BE">
              <w:rPr>
                <w:lang w:val="uk-UA"/>
              </w:rPr>
              <w:t>,0</w:t>
            </w:r>
          </w:p>
        </w:tc>
      </w:tr>
    </w:tbl>
    <w:p w:rsidR="00C91CE8" w:rsidRDefault="00C91CE8" w:rsidP="00B93F80">
      <w:pPr>
        <w:pStyle w:val="a3"/>
        <w:jc w:val="center"/>
        <w:rPr>
          <w:lang w:val="uk-UA"/>
        </w:rPr>
      </w:pPr>
    </w:p>
    <w:p w:rsidR="007A7BB2" w:rsidRDefault="007A7BB2" w:rsidP="00B93F80">
      <w:pPr>
        <w:pStyle w:val="a3"/>
        <w:jc w:val="center"/>
        <w:rPr>
          <w:lang w:val="uk-UA"/>
        </w:rPr>
      </w:pPr>
    </w:p>
    <w:p w:rsidR="007A7BB2" w:rsidRDefault="007A7BB2" w:rsidP="007A7B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7BB2" w:rsidRDefault="007A7BB2" w:rsidP="007A7B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7BB2" w:rsidRDefault="007A7BB2" w:rsidP="007A7B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7BB2" w:rsidRDefault="007A7BB2" w:rsidP="007A7B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7BB2" w:rsidRDefault="007A7BB2" w:rsidP="007A7B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7BB2" w:rsidRDefault="007A7BB2" w:rsidP="007A7B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sectPr w:rsidR="007A7BB2" w:rsidSect="000751A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5B4F"/>
    <w:multiLevelType w:val="hybridMultilevel"/>
    <w:tmpl w:val="2D58D0DE"/>
    <w:lvl w:ilvl="0" w:tplc="24729CD6">
      <w:start w:val="9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2DEC7595"/>
    <w:multiLevelType w:val="hybridMultilevel"/>
    <w:tmpl w:val="F9B2E3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21C"/>
    <w:multiLevelType w:val="hybridMultilevel"/>
    <w:tmpl w:val="54E67B08"/>
    <w:lvl w:ilvl="0" w:tplc="4DF88172">
      <w:start w:val="9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56330D"/>
    <w:multiLevelType w:val="hybridMultilevel"/>
    <w:tmpl w:val="C09CACA4"/>
    <w:lvl w:ilvl="0" w:tplc="8A3236F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FC3"/>
    <w:rsid w:val="00044BC5"/>
    <w:rsid w:val="000674E9"/>
    <w:rsid w:val="00070F4E"/>
    <w:rsid w:val="000751A1"/>
    <w:rsid w:val="000A4C2F"/>
    <w:rsid w:val="000F0DF3"/>
    <w:rsid w:val="000F47FD"/>
    <w:rsid w:val="00142819"/>
    <w:rsid w:val="00146B98"/>
    <w:rsid w:val="00161FDC"/>
    <w:rsid w:val="001C20B1"/>
    <w:rsid w:val="001C59E0"/>
    <w:rsid w:val="001F5EB3"/>
    <w:rsid w:val="00265A21"/>
    <w:rsid w:val="0034397E"/>
    <w:rsid w:val="00393BDE"/>
    <w:rsid w:val="003A7FCB"/>
    <w:rsid w:val="004355F3"/>
    <w:rsid w:val="00436E0A"/>
    <w:rsid w:val="00473E5D"/>
    <w:rsid w:val="004A73F7"/>
    <w:rsid w:val="004D5FC3"/>
    <w:rsid w:val="004D77D2"/>
    <w:rsid w:val="004E47B2"/>
    <w:rsid w:val="005B5F9C"/>
    <w:rsid w:val="005E2805"/>
    <w:rsid w:val="00605444"/>
    <w:rsid w:val="00677477"/>
    <w:rsid w:val="006B174B"/>
    <w:rsid w:val="006E289B"/>
    <w:rsid w:val="006E66BE"/>
    <w:rsid w:val="00750E06"/>
    <w:rsid w:val="007638B0"/>
    <w:rsid w:val="007647B6"/>
    <w:rsid w:val="007A2E09"/>
    <w:rsid w:val="007A7BB2"/>
    <w:rsid w:val="00887B84"/>
    <w:rsid w:val="008A493B"/>
    <w:rsid w:val="008B75A4"/>
    <w:rsid w:val="008C42E0"/>
    <w:rsid w:val="00922571"/>
    <w:rsid w:val="009318C3"/>
    <w:rsid w:val="00957373"/>
    <w:rsid w:val="00974BF8"/>
    <w:rsid w:val="009C141F"/>
    <w:rsid w:val="009D2969"/>
    <w:rsid w:val="009D75F4"/>
    <w:rsid w:val="00A15441"/>
    <w:rsid w:val="00A16581"/>
    <w:rsid w:val="00A638D5"/>
    <w:rsid w:val="00AD2B7E"/>
    <w:rsid w:val="00AD55A1"/>
    <w:rsid w:val="00AE7E59"/>
    <w:rsid w:val="00B2661E"/>
    <w:rsid w:val="00B55B7B"/>
    <w:rsid w:val="00B82499"/>
    <w:rsid w:val="00B93F80"/>
    <w:rsid w:val="00BE2BDA"/>
    <w:rsid w:val="00C00697"/>
    <w:rsid w:val="00C367D8"/>
    <w:rsid w:val="00C37E09"/>
    <w:rsid w:val="00C471C8"/>
    <w:rsid w:val="00C70D28"/>
    <w:rsid w:val="00C8065D"/>
    <w:rsid w:val="00C91CE8"/>
    <w:rsid w:val="00C93B17"/>
    <w:rsid w:val="00CB1383"/>
    <w:rsid w:val="00D40174"/>
    <w:rsid w:val="00DA2BA4"/>
    <w:rsid w:val="00DC731B"/>
    <w:rsid w:val="00DE1CE4"/>
    <w:rsid w:val="00E27991"/>
    <w:rsid w:val="00E45315"/>
    <w:rsid w:val="00E7119B"/>
    <w:rsid w:val="00E7560E"/>
    <w:rsid w:val="00EC393E"/>
    <w:rsid w:val="00EE482E"/>
    <w:rsid w:val="00EF5C9E"/>
    <w:rsid w:val="00F03A7E"/>
    <w:rsid w:val="00F22D70"/>
    <w:rsid w:val="00F646CE"/>
    <w:rsid w:val="00F729A6"/>
    <w:rsid w:val="00F8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43D3B-7ED2-43F8-8D90-A395DF9D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7B"/>
    <w:pPr>
      <w:ind w:left="720"/>
      <w:contextualSpacing/>
    </w:pPr>
  </w:style>
  <w:style w:type="table" w:styleId="a4">
    <w:name w:val="Table Grid"/>
    <w:basedOn w:val="a1"/>
    <w:uiPriority w:val="59"/>
    <w:rsid w:val="0006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0CA1-EB6A-42D8-BD5D-86FF249C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Завещана Ольга</cp:lastModifiedBy>
  <cp:revision>8</cp:revision>
  <cp:lastPrinted>2020-12-02T14:18:00Z</cp:lastPrinted>
  <dcterms:created xsi:type="dcterms:W3CDTF">2020-11-21T08:56:00Z</dcterms:created>
  <dcterms:modified xsi:type="dcterms:W3CDTF">2020-12-02T19:44:00Z</dcterms:modified>
</cp:coreProperties>
</file>